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CEB6" w14:textId="77777777" w:rsidR="00F53B07" w:rsidRPr="004E7E14" w:rsidRDefault="00F53B07" w:rsidP="00F53B07">
      <w:pPr>
        <w:pStyle w:val="PNLSubhead"/>
        <w:spacing w:line="240" w:lineRule="auto"/>
        <w:outlineLvl w:val="0"/>
      </w:pPr>
      <w:r>
        <w:t>Muster: So regeln Sie alles rund ums Diensthandy</w:t>
      </w:r>
    </w:p>
    <w:p w14:paraId="2480EF97" w14:textId="77777777" w:rsidR="00F53B07" w:rsidRDefault="00F53B07" w:rsidP="00F53B07">
      <w:pPr>
        <w:suppressAutoHyphens/>
        <w:jc w:val="both"/>
        <w:rPr>
          <w:b/>
        </w:rPr>
      </w:pPr>
    </w:p>
    <w:p w14:paraId="017434AC" w14:textId="77777777" w:rsidR="00F53B07" w:rsidRPr="00B25F0A" w:rsidRDefault="00F53B07" w:rsidP="00F53B07">
      <w:pPr>
        <w:pStyle w:val="Textkrper"/>
        <w:jc w:val="center"/>
        <w:rPr>
          <w:b/>
          <w:bCs/>
          <w:i/>
          <w:iCs/>
        </w:rPr>
      </w:pPr>
      <w:r w:rsidRPr="00B25F0A">
        <w:rPr>
          <w:b/>
          <w:bCs/>
          <w:i/>
          <w:iCs/>
        </w:rPr>
        <w:t>Dienstvereinbarung</w:t>
      </w:r>
    </w:p>
    <w:p w14:paraId="62156287" w14:textId="77777777" w:rsidR="00F53B07" w:rsidRPr="00B25F0A" w:rsidRDefault="00F53B07" w:rsidP="00F53B07">
      <w:pPr>
        <w:pStyle w:val="StandardWeb"/>
        <w:jc w:val="both"/>
        <w:rPr>
          <w:i/>
          <w:iCs/>
        </w:rPr>
      </w:pPr>
      <w:r w:rsidRPr="00B25F0A">
        <w:rPr>
          <w:i/>
          <w:iCs/>
        </w:rPr>
        <w:t>zur Nutzung des dienstlichen Smart-</w:t>
      </w:r>
      <w:proofErr w:type="spellStart"/>
      <w:r w:rsidRPr="00B25F0A">
        <w:rPr>
          <w:i/>
          <w:iCs/>
        </w:rPr>
        <w:t>Phones</w:t>
      </w:r>
      <w:proofErr w:type="spellEnd"/>
    </w:p>
    <w:p w14:paraId="6971D026" w14:textId="77777777" w:rsidR="00F53B07" w:rsidRPr="00B25F0A" w:rsidRDefault="00F53B07" w:rsidP="00F53B07">
      <w:pPr>
        <w:autoSpaceDE w:val="0"/>
        <w:autoSpaceDN w:val="0"/>
        <w:adjustRightInd w:val="0"/>
        <w:spacing w:before="240"/>
        <w:jc w:val="center"/>
        <w:rPr>
          <w:i/>
          <w:iCs/>
        </w:rPr>
      </w:pPr>
      <w:r w:rsidRPr="00B25F0A">
        <w:rPr>
          <w:i/>
          <w:iCs/>
        </w:rPr>
        <w:t>zwischen</w:t>
      </w:r>
    </w:p>
    <w:p w14:paraId="4E4B37D1" w14:textId="77777777" w:rsidR="00F53B07" w:rsidRPr="00B25F0A" w:rsidRDefault="00F53B07" w:rsidP="00F53B07">
      <w:pPr>
        <w:autoSpaceDE w:val="0"/>
        <w:autoSpaceDN w:val="0"/>
        <w:adjustRightInd w:val="0"/>
        <w:spacing w:before="120"/>
        <w:jc w:val="center"/>
        <w:rPr>
          <w:i/>
          <w:iCs/>
        </w:rPr>
      </w:pPr>
      <w:r w:rsidRPr="00B25F0A">
        <w:rPr>
          <w:i/>
          <w:iCs/>
        </w:rPr>
        <w:t>der Dienststelle ...,</w:t>
      </w:r>
    </w:p>
    <w:p w14:paraId="36A929FD" w14:textId="77777777" w:rsidR="00F53B07" w:rsidRPr="00B25F0A" w:rsidRDefault="00F53B07" w:rsidP="00F53B07">
      <w:pPr>
        <w:autoSpaceDE w:val="0"/>
        <w:autoSpaceDN w:val="0"/>
        <w:adjustRightInd w:val="0"/>
        <w:jc w:val="center"/>
        <w:rPr>
          <w:i/>
          <w:iCs/>
        </w:rPr>
      </w:pPr>
      <w:r w:rsidRPr="00B25F0A">
        <w:rPr>
          <w:i/>
          <w:iCs/>
        </w:rPr>
        <w:t>vertreten durch den Dienststellenleiter</w:t>
      </w:r>
    </w:p>
    <w:p w14:paraId="12BC9951" w14:textId="77777777" w:rsidR="00F53B07" w:rsidRPr="00B25F0A" w:rsidRDefault="00F53B07" w:rsidP="00F53B07">
      <w:pPr>
        <w:autoSpaceDE w:val="0"/>
        <w:autoSpaceDN w:val="0"/>
        <w:adjustRightInd w:val="0"/>
        <w:jc w:val="center"/>
        <w:rPr>
          <w:i/>
          <w:iCs/>
        </w:rPr>
      </w:pPr>
      <w:r w:rsidRPr="00B25F0A">
        <w:rPr>
          <w:i/>
          <w:iCs/>
        </w:rPr>
        <w:t>Herrn/Frau ...</w:t>
      </w:r>
    </w:p>
    <w:p w14:paraId="68527A10" w14:textId="77777777" w:rsidR="00F53B07" w:rsidRPr="00B25F0A" w:rsidRDefault="00F53B07" w:rsidP="00F53B07">
      <w:pPr>
        <w:autoSpaceDE w:val="0"/>
        <w:autoSpaceDN w:val="0"/>
        <w:adjustRightInd w:val="0"/>
        <w:spacing w:before="120"/>
        <w:jc w:val="center"/>
        <w:rPr>
          <w:i/>
          <w:iCs/>
        </w:rPr>
      </w:pPr>
      <w:r w:rsidRPr="00B25F0A">
        <w:rPr>
          <w:i/>
          <w:iCs/>
        </w:rPr>
        <w:t>und dem Personalrat</w:t>
      </w:r>
    </w:p>
    <w:p w14:paraId="3F219626" w14:textId="77777777" w:rsidR="00F53B07" w:rsidRPr="00B25F0A" w:rsidRDefault="00F53B07" w:rsidP="00F53B07">
      <w:pPr>
        <w:autoSpaceDE w:val="0"/>
        <w:autoSpaceDN w:val="0"/>
        <w:adjustRightInd w:val="0"/>
        <w:jc w:val="center"/>
        <w:rPr>
          <w:i/>
          <w:iCs/>
        </w:rPr>
      </w:pPr>
      <w:r w:rsidRPr="00B25F0A">
        <w:rPr>
          <w:i/>
          <w:iCs/>
        </w:rPr>
        <w:t>der Dienststelle ...,</w:t>
      </w:r>
    </w:p>
    <w:p w14:paraId="0689FD96" w14:textId="77777777" w:rsidR="00F53B07" w:rsidRPr="00B25F0A" w:rsidRDefault="00F53B07" w:rsidP="00F53B07">
      <w:pPr>
        <w:autoSpaceDE w:val="0"/>
        <w:autoSpaceDN w:val="0"/>
        <w:adjustRightInd w:val="0"/>
        <w:jc w:val="center"/>
        <w:rPr>
          <w:i/>
          <w:iCs/>
        </w:rPr>
      </w:pPr>
      <w:r w:rsidRPr="00B25F0A">
        <w:rPr>
          <w:i/>
          <w:iCs/>
        </w:rPr>
        <w:t>vertreten durch deren/dessen Vorsitzende(n)</w:t>
      </w:r>
    </w:p>
    <w:p w14:paraId="76D2056F" w14:textId="77777777" w:rsidR="00F53B07" w:rsidRPr="00B25F0A" w:rsidRDefault="00F53B07" w:rsidP="00F53B07">
      <w:pPr>
        <w:autoSpaceDE w:val="0"/>
        <w:autoSpaceDN w:val="0"/>
        <w:adjustRightInd w:val="0"/>
        <w:jc w:val="center"/>
        <w:rPr>
          <w:i/>
          <w:iCs/>
          <w:highlight w:val="yellow"/>
        </w:rPr>
      </w:pPr>
      <w:r w:rsidRPr="00B25F0A">
        <w:rPr>
          <w:i/>
          <w:iCs/>
        </w:rPr>
        <w:t>Herrn/Frau ...</w:t>
      </w:r>
    </w:p>
    <w:p w14:paraId="72275806" w14:textId="77777777" w:rsidR="00F53B07" w:rsidRPr="00B25F0A" w:rsidRDefault="00F53B07" w:rsidP="00F53B07">
      <w:pPr>
        <w:autoSpaceDE w:val="0"/>
        <w:autoSpaceDN w:val="0"/>
        <w:adjustRightInd w:val="0"/>
        <w:rPr>
          <w:i/>
          <w:iCs/>
          <w:highlight w:val="yellow"/>
        </w:rPr>
      </w:pPr>
    </w:p>
    <w:p w14:paraId="6A68E32D" w14:textId="77777777" w:rsidR="00F53B07" w:rsidRPr="00B25F0A" w:rsidRDefault="00F53B07" w:rsidP="00F53B07">
      <w:pPr>
        <w:jc w:val="both"/>
        <w:rPr>
          <w:b/>
          <w:i/>
          <w:iCs/>
          <w:highlight w:val="yellow"/>
        </w:rPr>
      </w:pPr>
    </w:p>
    <w:p w14:paraId="54E01F12" w14:textId="77777777" w:rsidR="00F53B07" w:rsidRPr="00B25F0A" w:rsidRDefault="00F53B07" w:rsidP="00F53B07">
      <w:pPr>
        <w:pStyle w:val="jm1a"/>
        <w:widowControl w:val="0"/>
        <w:rPr>
          <w:rFonts w:ascii="Times New Roman" w:hAnsi="Times New Roman"/>
          <w:i/>
          <w:iCs/>
          <w:sz w:val="24"/>
          <w:szCs w:val="24"/>
        </w:rPr>
      </w:pPr>
      <w:r w:rsidRPr="00B25F0A">
        <w:rPr>
          <w:rStyle w:val="jm40"/>
          <w:rFonts w:ascii="Times New Roman" w:hAnsi="Times New Roman"/>
          <w:i/>
          <w:iCs/>
          <w:sz w:val="24"/>
          <w:szCs w:val="24"/>
        </w:rPr>
        <w:t>Vorbemerkung</w:t>
      </w:r>
      <w:r w:rsidRPr="00B25F0A">
        <w:rPr>
          <w:rFonts w:ascii="Times New Roman" w:hAnsi="Times New Roman"/>
          <w:i/>
          <w:iCs/>
          <w:sz w:val="24"/>
          <w:szCs w:val="24"/>
        </w:rPr>
        <w:t>: Aus Gründen der besseren Lesbarkeit wurde die männliche Sprachform bei der Formulierung dieser Dienstvereinbarung gewählt. Personalrat und Firma versichern, dass sie alle Beschäftigten und andere Personen diskriminierungsfrei und gleichberechtigt behandeln werden.</w:t>
      </w:r>
    </w:p>
    <w:p w14:paraId="3514DAB1" w14:textId="77777777" w:rsidR="00F53B07" w:rsidRDefault="00F53B07" w:rsidP="00F53B07">
      <w:pPr>
        <w:suppressAutoHyphens/>
        <w:jc w:val="both"/>
        <w:rPr>
          <w:b/>
        </w:rPr>
      </w:pPr>
    </w:p>
    <w:p w14:paraId="7C169A61" w14:textId="77777777" w:rsidR="00F53B07" w:rsidRPr="00224AD3" w:rsidRDefault="00F53B07" w:rsidP="00F53B07">
      <w:pPr>
        <w:suppressAutoHyphens/>
        <w:jc w:val="both"/>
        <w:rPr>
          <w:b/>
        </w:rPr>
      </w:pPr>
      <w:r w:rsidRPr="00224AD3">
        <w:rPr>
          <w:b/>
        </w:rPr>
        <w:t>§ 1 Anwendungsbereich</w:t>
      </w:r>
    </w:p>
    <w:p w14:paraId="0A2D7287" w14:textId="77777777" w:rsidR="00F53B07" w:rsidRPr="00224AD3" w:rsidRDefault="00F53B07" w:rsidP="00F53B07">
      <w:pPr>
        <w:jc w:val="both"/>
      </w:pPr>
      <w:r w:rsidRPr="00224AD3">
        <w:t>Diese Dienstvereinbarung regelt die Nutzung von mobilen Kommunikationsgeräten (iPhones, andere Smartphones und Mobiltelefone), die die Dienststelle den Beschäftigten zur Verfügung stellt. Sie gilt für alle Beschäftigten der Dienststelle. Die Nutzung privater Geräte für den dienstlichen Bereich ist nicht Gegenstand dieser Vereinbarung und wird in einer gesonderten Dienstvereinbarung geregelt.</w:t>
      </w:r>
    </w:p>
    <w:p w14:paraId="0C8F5F1E" w14:textId="77777777" w:rsidR="00F53B07" w:rsidRPr="00224AD3" w:rsidRDefault="00F53B07" w:rsidP="00F53B07">
      <w:pPr>
        <w:jc w:val="both"/>
        <w:rPr>
          <w:lang w:eastAsia="de-DE"/>
        </w:rPr>
      </w:pPr>
    </w:p>
    <w:p w14:paraId="7340AC9B" w14:textId="77777777" w:rsidR="00F53B07" w:rsidRPr="00224AD3" w:rsidRDefault="00F53B07" w:rsidP="00F53B07">
      <w:pPr>
        <w:jc w:val="both"/>
        <w:rPr>
          <w:b/>
        </w:rPr>
      </w:pPr>
      <w:r w:rsidRPr="00224AD3">
        <w:rPr>
          <w:b/>
        </w:rPr>
        <w:t>§ 2 Ausstattung/Kosten</w:t>
      </w:r>
    </w:p>
    <w:p w14:paraId="132AA4AE" w14:textId="77777777" w:rsidR="00F53B07" w:rsidRPr="00224AD3" w:rsidRDefault="00F53B07" w:rsidP="00F53B07">
      <w:pPr>
        <w:jc w:val="both"/>
      </w:pPr>
      <w:r w:rsidRPr="00224AD3">
        <w:t>(1) Die Geräte werden denjenigen Beschäftigten dauerhaft zur Verfügung gestellt, deren Arbeit eine häufige Überarbeitung und Aktualisierung von Termindaten oder eine gute Erreichbarkeit bei relativ häufiger, betrieblich bedingter Abwesenheit vom Arbeitsplatz erfordert. Darüber hinaus erfolgen kurzzeitige Überlassungen an Beschäftigten im Rahmen von Rufbereitschaftszeiten.</w:t>
      </w:r>
    </w:p>
    <w:p w14:paraId="65FC701D" w14:textId="77777777" w:rsidR="00F53B07" w:rsidRPr="00224AD3" w:rsidRDefault="00F53B07" w:rsidP="00F53B07">
      <w:pPr>
        <w:jc w:val="both"/>
      </w:pPr>
    </w:p>
    <w:p w14:paraId="2065FEA0" w14:textId="77777777" w:rsidR="00F53B07" w:rsidRPr="00224AD3" w:rsidRDefault="00F53B07" w:rsidP="00F53B07">
      <w:pPr>
        <w:jc w:val="both"/>
        <w:rPr>
          <w:lang w:eastAsia="de-DE"/>
        </w:rPr>
      </w:pPr>
      <w:r w:rsidRPr="00224AD3">
        <w:t xml:space="preserve">(2) Falls ein Beschäftigter </w:t>
      </w:r>
      <w:proofErr w:type="gramStart"/>
      <w:r w:rsidRPr="00224AD3">
        <w:t>über mehrere dienstliche Rufnummern</w:t>
      </w:r>
      <w:proofErr w:type="gramEnd"/>
      <w:r w:rsidRPr="00224AD3">
        <w:t xml:space="preserve"> verfügt, wird vor der Bereitstellung eines neuen mobilen Kommunikationsgeräts mit diesem</w:t>
      </w:r>
      <w:r w:rsidRPr="00224AD3">
        <w:rPr>
          <w:lang w:eastAsia="de-DE"/>
        </w:rPr>
        <w:t xml:space="preserve"> </w:t>
      </w:r>
      <w:r w:rsidRPr="00224AD3">
        <w:t xml:space="preserve">abgestimmt, welche Rufnummer auf das neue Gerät übertragen wird. </w:t>
      </w:r>
    </w:p>
    <w:p w14:paraId="03E5FDCC" w14:textId="77777777" w:rsidR="00F53B07" w:rsidRPr="00224AD3" w:rsidRDefault="00F53B07" w:rsidP="00F53B07">
      <w:pPr>
        <w:jc w:val="both"/>
      </w:pPr>
    </w:p>
    <w:p w14:paraId="29461B08" w14:textId="77777777" w:rsidR="00F53B07" w:rsidRPr="00224AD3" w:rsidRDefault="00F53B07" w:rsidP="00F53B07">
      <w:pPr>
        <w:jc w:val="both"/>
      </w:pPr>
      <w:r w:rsidRPr="00224AD3">
        <w:t xml:space="preserve">(3) Um notwendige Zusatzgeräte (zum Beispiel Kfz-Halterung oder Freisprechanlage) betreiben zu können, werden den Beschäftigten Multi-Sim-Cards zur Verfügung gestellt.  Die Kosten für dienstlich notwendige Zubehörteile (Autoladekabel, Schutztasche etc.) werden von der Dienststelle getragen. </w:t>
      </w:r>
    </w:p>
    <w:p w14:paraId="0187C3EC" w14:textId="77777777" w:rsidR="00F53B07" w:rsidRPr="00224AD3" w:rsidRDefault="00F53B07" w:rsidP="00F53B07">
      <w:pPr>
        <w:jc w:val="both"/>
      </w:pPr>
    </w:p>
    <w:p w14:paraId="5073E92F" w14:textId="77777777" w:rsidR="00F53B07" w:rsidRPr="00224AD3" w:rsidRDefault="00F53B07" w:rsidP="00F53B07">
      <w:pPr>
        <w:jc w:val="both"/>
      </w:pPr>
      <w:r w:rsidRPr="00224AD3">
        <w:t>(4) Die Firma trägt die Kosten der Nutzung der mobilen Endgeräte soweit diese innerhalb des in dieser Vereinbarung vereinbarten Rahmens erfolgt.</w:t>
      </w:r>
    </w:p>
    <w:p w14:paraId="09C58F9D" w14:textId="77777777" w:rsidR="00F53B07" w:rsidRPr="00224AD3" w:rsidRDefault="00F53B07" w:rsidP="00F53B07">
      <w:pPr>
        <w:jc w:val="both"/>
      </w:pPr>
    </w:p>
    <w:p w14:paraId="7B232950" w14:textId="77777777" w:rsidR="00F53B07" w:rsidRPr="00224AD3" w:rsidRDefault="00F53B07" w:rsidP="00F53B07">
      <w:pPr>
        <w:pStyle w:val="berschrift3"/>
      </w:pPr>
      <w:r w:rsidRPr="00224AD3">
        <w:lastRenderedPageBreak/>
        <w:t>§ 3 Private Nutzung und Haftung</w:t>
      </w:r>
    </w:p>
    <w:p w14:paraId="0EF4D382" w14:textId="77777777" w:rsidR="00F53B07" w:rsidRPr="00224AD3" w:rsidRDefault="00F53B07" w:rsidP="00F53B07">
      <w:pPr>
        <w:jc w:val="both"/>
      </w:pPr>
      <w:r w:rsidRPr="00224AD3">
        <w:t xml:space="preserve">(1) Die mobilen Kommunikationsgeräte werden den Beschäftigten für dienstliche Zwecke zur Verfügung gestellt. Eine Nutzung (Telefonieren, Internetnutzung, Installation von „Apps“) für private Zwecke ist in angemessenem Umfang gestattet. Angemessen ist die Privatnutzung, wenn es dadurch nicht zu einer wesentlichen Beeinträchtigung der arbeitsvertraglichen Verpflichtungen kommt. </w:t>
      </w:r>
    </w:p>
    <w:p w14:paraId="6162D5DA" w14:textId="77777777" w:rsidR="00F53B07" w:rsidRPr="00224AD3" w:rsidRDefault="00F53B07" w:rsidP="00F53B07">
      <w:pPr>
        <w:ind w:left="360"/>
        <w:jc w:val="both"/>
      </w:pPr>
    </w:p>
    <w:p w14:paraId="27B2EBCE" w14:textId="77777777" w:rsidR="00F53B07" w:rsidRPr="00224AD3" w:rsidRDefault="00F53B07" w:rsidP="00F53B07">
      <w:pPr>
        <w:jc w:val="both"/>
      </w:pPr>
      <w:r w:rsidRPr="00224AD3">
        <w:t xml:space="preserve">(2) Im Ausland sind unter dieser Voraussetzung sowohl private Telefonate als auch die private Nutzung kostenfreier WLAN-Hotspots für Internetdienste zulässig. Ausgenommen ist jedoch die private Nutzung von Internetdiensten im Ausland mit Hilfe von „Daten-Roaming-Tarifen“. </w:t>
      </w:r>
    </w:p>
    <w:p w14:paraId="160D0EFC" w14:textId="77777777" w:rsidR="00F53B07" w:rsidRPr="00224AD3" w:rsidRDefault="00F53B07" w:rsidP="00F53B07">
      <w:pPr>
        <w:suppressAutoHyphens/>
        <w:jc w:val="both"/>
        <w:rPr>
          <w:highlight w:val="yellow"/>
        </w:rPr>
      </w:pPr>
    </w:p>
    <w:p w14:paraId="0E04A886" w14:textId="77777777" w:rsidR="00F53B07" w:rsidRPr="00224AD3" w:rsidRDefault="00F53B07" w:rsidP="00F53B07">
      <w:pPr>
        <w:jc w:val="both"/>
      </w:pPr>
      <w:r w:rsidRPr="00224AD3">
        <w:t xml:space="preserve">(3) Sofern die mobilen Kommunikationsgeräte die Nutzung von Apps ermöglichen, dürfen die Beschäftigten diese installieren und nutzen. Etwaige Kosten für private „Apps“ sind von den Beschäftigten selbst zu tragen. Die Beschäftigten sind für die Sicherung privater Daten und Apps selbst verantwortlich. Die Übernahme von privaten Daten oder gekauften Apps auf andere private Mobilgeräte in Abhängigkeit von den verwendeten Geräten kann nicht gewährleistet werden. Die Haftung der Beschäftigten für Schäden ist auf Vorsatz und grobe Fahrlässigkeit begrenzt.  Das Umgehen bestehender Hardware- bzw. Software-Schutzmaßnahmen (z. B. durch sogenannte </w:t>
      </w:r>
      <w:proofErr w:type="spellStart"/>
      <w:r w:rsidRPr="00224AD3">
        <w:t>Jail</w:t>
      </w:r>
      <w:proofErr w:type="spellEnd"/>
      <w:r w:rsidRPr="00224AD3">
        <w:t xml:space="preserve"> Breaks) ist verboten.</w:t>
      </w:r>
    </w:p>
    <w:p w14:paraId="63C1E163" w14:textId="77777777" w:rsidR="00F53B07" w:rsidRPr="00224AD3" w:rsidRDefault="00F53B07" w:rsidP="00F53B07">
      <w:pPr>
        <w:jc w:val="both"/>
        <w:rPr>
          <w:lang w:eastAsia="de-DE"/>
        </w:rPr>
      </w:pPr>
    </w:p>
    <w:p w14:paraId="1FF08276" w14:textId="77777777" w:rsidR="00F53B07" w:rsidRPr="00224AD3" w:rsidRDefault="00F53B07" w:rsidP="00F53B07">
      <w:pPr>
        <w:pStyle w:val="berschrift3"/>
      </w:pPr>
      <w:r w:rsidRPr="00224AD3">
        <w:t>§ 4 Dienstliche Nutzung</w:t>
      </w:r>
    </w:p>
    <w:p w14:paraId="68C9A721" w14:textId="77777777" w:rsidR="00F53B07" w:rsidRPr="00224AD3" w:rsidRDefault="00F53B07" w:rsidP="00F53B07">
      <w:pPr>
        <w:jc w:val="both"/>
      </w:pPr>
      <w:r w:rsidRPr="00224AD3">
        <w:t xml:space="preserve">(1) Die Beschäftigten </w:t>
      </w:r>
      <w:proofErr w:type="gramStart"/>
      <w:r w:rsidRPr="00224AD3">
        <w:t>können</w:t>
      </w:r>
      <w:proofErr w:type="gramEnd"/>
      <w:r w:rsidRPr="00224AD3">
        <w:t xml:space="preserve"> die auf den mobilen Kommunikationsgeräten bereit gestellten Leistungsmerkmale und Apps zu dienstlichen Zwecken verwenden.</w:t>
      </w:r>
    </w:p>
    <w:p w14:paraId="1B1D9B05" w14:textId="77777777" w:rsidR="00F53B07" w:rsidRPr="00224AD3" w:rsidRDefault="00F53B07" w:rsidP="00F53B07">
      <w:pPr>
        <w:ind w:left="360"/>
        <w:jc w:val="both"/>
      </w:pPr>
    </w:p>
    <w:p w14:paraId="59D0D639" w14:textId="77777777" w:rsidR="00F53B07" w:rsidRPr="00224AD3" w:rsidRDefault="00F53B07" w:rsidP="00F53B07">
      <w:pPr>
        <w:jc w:val="both"/>
      </w:pPr>
      <w:r w:rsidRPr="00224AD3">
        <w:t>(2) Apps/Anwendungen, mit denen auf Datenbestände der Dienststelle zugegriffen wird, sind einvernehmlich in Anlage 1 zu dokumentieren.</w:t>
      </w:r>
    </w:p>
    <w:p w14:paraId="3BB72685" w14:textId="77777777" w:rsidR="00F53B07" w:rsidRPr="00224AD3" w:rsidRDefault="00F53B07" w:rsidP="00F53B07">
      <w:pPr>
        <w:jc w:val="both"/>
      </w:pPr>
    </w:p>
    <w:p w14:paraId="7C4D7FAC" w14:textId="77777777" w:rsidR="00F53B07" w:rsidRPr="00224AD3" w:rsidRDefault="00F53B07" w:rsidP="00F53B07">
      <w:pPr>
        <w:pStyle w:val="berschrift3"/>
      </w:pPr>
      <w:r w:rsidRPr="00224AD3">
        <w:t>§ 5 Anfordern von Auswertungen / Einzelverbindungsnachweisen über den Provider</w:t>
      </w:r>
    </w:p>
    <w:p w14:paraId="4427F500" w14:textId="77777777" w:rsidR="00F53B07" w:rsidRPr="00224AD3" w:rsidRDefault="00F53B07" w:rsidP="00F53B07">
      <w:pPr>
        <w:jc w:val="both"/>
      </w:pPr>
      <w:r w:rsidRPr="00224AD3">
        <w:t>(1) Summierte Auswertungen ohne Personenbezug können von den zuständigen Stellen angefordert und verwendet werden. Die Nutzung von Einzelverbindungsnachweisen ist eingeschränkt. Die letzten vier Ziffern der Rufnummern sind jeweils gelöscht oder unkenntlich gemacht. Empfänger von Einzelverbindungsnachweisen der Provider sind ausschließlich die in Anlage 2 benannten Beschäftigten. Sie wahren Stillschweigen und verfahren ausschließlich nach Maßgabe der folgenden Regelungen.</w:t>
      </w:r>
    </w:p>
    <w:p w14:paraId="4BEEE315" w14:textId="77777777" w:rsidR="00F53B07" w:rsidRPr="00224AD3" w:rsidRDefault="00F53B07" w:rsidP="00F53B07">
      <w:pPr>
        <w:jc w:val="both"/>
      </w:pPr>
    </w:p>
    <w:p w14:paraId="268A6D8E" w14:textId="77777777" w:rsidR="00F53B07" w:rsidRPr="00224AD3" w:rsidRDefault="00F53B07" w:rsidP="00F53B07">
      <w:pPr>
        <w:jc w:val="both"/>
      </w:pPr>
      <w:r w:rsidRPr="00224AD3">
        <w:t>(2) Weiterleiten der Einzelverbindungsdaten nach ausdrücklicher Anforderung durch den betroffenen Rufnummerninhaber an diesen selbst. Dabei ist die Vertraulichkeit in geeigneter Weise zu gewährleisten (zum Beispiel: Versand in verschlossenem Umschlag). Im Einzelfall des Verdachts einer missbräuchlichen Nutzung kann eine Überprüfung der Daten nach vorheriger Zustimmung des Personalrats durchgeführt werden. Der Personalrat wird über das Ergebnis der Überprüfung informiert, bevor personelle Einzelmaßnahmen ergriffen werden. Weitere Analysen der Einzelverbindungsdaten finden nicht statt. Einzelverbindungsdaten bzw. -ausdrucke sind nach spätestens sechs Monaten zu löschen bzw. zu vernichten.</w:t>
      </w:r>
    </w:p>
    <w:p w14:paraId="27999AA8" w14:textId="77777777" w:rsidR="00F53B07" w:rsidRPr="00224AD3" w:rsidRDefault="00F53B07" w:rsidP="00F53B07">
      <w:pPr>
        <w:jc w:val="both"/>
      </w:pPr>
    </w:p>
    <w:p w14:paraId="4ACEF01A" w14:textId="77777777" w:rsidR="00F53B07" w:rsidRPr="00224AD3" w:rsidRDefault="00F53B07" w:rsidP="00F53B07">
      <w:pPr>
        <w:pStyle w:val="berschrift3"/>
      </w:pPr>
      <w:r w:rsidRPr="00224AD3">
        <w:t>§ 7 Verfahrensregelungen</w:t>
      </w:r>
    </w:p>
    <w:p w14:paraId="7FDE03D0" w14:textId="77777777" w:rsidR="00F53B07" w:rsidRPr="00224AD3" w:rsidRDefault="00F53B07" w:rsidP="00F53B07">
      <w:pPr>
        <w:jc w:val="both"/>
      </w:pPr>
      <w:r w:rsidRPr="00224AD3">
        <w:t>(1) Über den geplanten Einsatz neuer Systeme oder die Erweiterung oder Änderung bestehender Systeme wird der Personalrat rechtzeitig informiert; auf Wunsch findet eine Beratung statt. Dabei prüfen beide Seiten, ob die Bestimmungen dieser Vereinbarung eingehalten sind.</w:t>
      </w:r>
    </w:p>
    <w:p w14:paraId="034531C3" w14:textId="77777777" w:rsidR="00F53B07" w:rsidRPr="00224AD3" w:rsidRDefault="00F53B07" w:rsidP="00F53B07">
      <w:pPr>
        <w:ind w:left="360"/>
        <w:jc w:val="both"/>
      </w:pPr>
    </w:p>
    <w:p w14:paraId="1092A83C" w14:textId="77777777" w:rsidR="00F53B07" w:rsidRPr="00224AD3" w:rsidRDefault="00F53B07" w:rsidP="00F53B07">
      <w:pPr>
        <w:jc w:val="both"/>
      </w:pPr>
      <w:r w:rsidRPr="00224AD3">
        <w:t>(2) Abweichungen sind nur im Rahmen einvernehmlicher, diese Vereinbarung ergänzender Regelungen erlaubt. Macht eine Seite geltend, dass sich neue Probleme für den Persönlichkeitsschutz der Beschäftigten ergeben, so kann sie eine ergänzende Regelung verlangen; hierüber ist Einvernehmen zu erzielen. Änderungen der Anlagen bedürfen des gegenseitigen Einvernehmens.</w:t>
      </w:r>
    </w:p>
    <w:p w14:paraId="654CC796" w14:textId="77777777" w:rsidR="00F53B07" w:rsidRPr="00224AD3" w:rsidRDefault="00F53B07" w:rsidP="00F53B07">
      <w:pPr>
        <w:jc w:val="both"/>
      </w:pPr>
    </w:p>
    <w:p w14:paraId="4D91A267" w14:textId="77777777" w:rsidR="00F53B07" w:rsidRPr="00224AD3" w:rsidRDefault="00F53B07" w:rsidP="00F53B07">
      <w:pPr>
        <w:jc w:val="both"/>
      </w:pPr>
      <w:r w:rsidRPr="00224AD3">
        <w:t>(3) Der Personalrat kann sich davon überzeugen, dass die Bestimmungen dieser Vereinbarung eingehalten werden. Zu diesem Zweck kann er jederzeit gemeinsam mit einem fachkundigen Experten der Dienststelle Einblick in die Systeme und die Systemkonfiguration nehmen. Alle auftauchenden Fragen werden Ihm fachkundig erläutert. Auf Verlangen werden ihm die entsprechenden Dokumentationen zur Verfügung gestellt.</w:t>
      </w:r>
    </w:p>
    <w:p w14:paraId="67102C3F" w14:textId="77777777" w:rsidR="00F53B07" w:rsidRPr="00224AD3" w:rsidRDefault="00F53B07" w:rsidP="00F53B07">
      <w:pPr>
        <w:jc w:val="both"/>
      </w:pPr>
    </w:p>
    <w:p w14:paraId="727E5D20" w14:textId="77777777" w:rsidR="00F53B07" w:rsidRPr="00224AD3" w:rsidRDefault="00F53B07" w:rsidP="00F53B07">
      <w:pPr>
        <w:pStyle w:val="berschrift3"/>
      </w:pPr>
      <w:r w:rsidRPr="00224AD3">
        <w:t>§ 8 Schlussbestimmungen</w:t>
      </w:r>
    </w:p>
    <w:p w14:paraId="74C79892" w14:textId="77777777" w:rsidR="00F53B07" w:rsidRPr="00224AD3" w:rsidRDefault="00F53B07" w:rsidP="00F53B07">
      <w:pPr>
        <w:jc w:val="both"/>
        <w:rPr>
          <w:color w:val="000000"/>
        </w:rPr>
      </w:pPr>
      <w:r w:rsidRPr="00224AD3">
        <w:rPr>
          <w:color w:val="000000"/>
        </w:rPr>
        <w:t>(1) Gesetzliche und tarifvertragliche Regelungen, die den Anwendungsbereich dieser Vereinbarung treffen, gehen vor. Diese Vereinbarung tritt mit Unterzeichnung in Kraft.</w:t>
      </w:r>
    </w:p>
    <w:p w14:paraId="2835144C" w14:textId="77777777" w:rsidR="00F53B07" w:rsidRPr="00224AD3" w:rsidRDefault="00F53B07" w:rsidP="00F53B07">
      <w:pPr>
        <w:jc w:val="both"/>
        <w:rPr>
          <w:color w:val="000000"/>
        </w:rPr>
      </w:pPr>
    </w:p>
    <w:p w14:paraId="175879CF" w14:textId="77777777" w:rsidR="00F53B07" w:rsidRPr="00224AD3" w:rsidRDefault="00F53B07" w:rsidP="00F53B07">
      <w:pPr>
        <w:jc w:val="both"/>
        <w:rPr>
          <w:color w:val="000000"/>
        </w:rPr>
      </w:pPr>
      <w:r w:rsidRPr="00224AD3">
        <w:rPr>
          <w:color w:val="000000"/>
        </w:rPr>
        <w:t>(2) Diese Vereinbarung kann mit einer Frist von drei Monaten zum Ende eines Kalendermonats gekündigt werden.</w:t>
      </w:r>
    </w:p>
    <w:p w14:paraId="3845B7A4" w14:textId="77777777" w:rsidR="00F53B07" w:rsidRPr="00224AD3" w:rsidRDefault="00F53B07" w:rsidP="00F53B07">
      <w:pPr>
        <w:jc w:val="both"/>
        <w:rPr>
          <w:color w:val="000000"/>
        </w:rPr>
      </w:pPr>
    </w:p>
    <w:p w14:paraId="65A2E651" w14:textId="77777777" w:rsidR="00F53B07" w:rsidRPr="00224AD3" w:rsidRDefault="00F53B07" w:rsidP="00F53B07">
      <w:pPr>
        <w:jc w:val="both"/>
        <w:rPr>
          <w:color w:val="000000"/>
        </w:rPr>
      </w:pPr>
      <w:r w:rsidRPr="00224AD3">
        <w:rPr>
          <w:color w:val="000000"/>
        </w:rPr>
        <w:t>(3) Eine Nachwirkung wird ausgeschlossen.</w:t>
      </w:r>
    </w:p>
    <w:p w14:paraId="356AA62A" w14:textId="77777777" w:rsidR="00F53B07" w:rsidRDefault="00F53B07" w:rsidP="00F53B07">
      <w:pPr>
        <w:jc w:val="both"/>
        <w:rPr>
          <w:lang w:eastAsia="de-DE"/>
        </w:rPr>
      </w:pPr>
    </w:p>
    <w:p w14:paraId="577572F2" w14:textId="77777777" w:rsidR="00F53B07" w:rsidRPr="00224AD3" w:rsidRDefault="00F53B07" w:rsidP="00F53B07">
      <w:pPr>
        <w:jc w:val="both"/>
        <w:rPr>
          <w:lang w:eastAsia="de-DE"/>
        </w:rPr>
      </w:pPr>
    </w:p>
    <w:p w14:paraId="4FC79803" w14:textId="77777777" w:rsidR="00F53B07" w:rsidRPr="00224AD3" w:rsidRDefault="00F53B07" w:rsidP="00F53B07">
      <w:pPr>
        <w:jc w:val="both"/>
        <w:rPr>
          <w:lang w:eastAsia="de-DE"/>
        </w:rPr>
      </w:pPr>
      <w:r w:rsidRPr="00224AD3">
        <w:rPr>
          <w:lang w:eastAsia="de-DE"/>
        </w:rPr>
        <w:t>..., den _</w:t>
      </w:r>
      <w:proofErr w:type="gramStart"/>
      <w:r w:rsidRPr="00224AD3">
        <w:rPr>
          <w:lang w:eastAsia="de-DE"/>
        </w:rPr>
        <w:t>_.__._</w:t>
      </w:r>
      <w:proofErr w:type="gramEnd"/>
      <w:r w:rsidRPr="00224AD3">
        <w:rPr>
          <w:lang w:eastAsia="de-DE"/>
        </w:rPr>
        <w:t xml:space="preserve">___ </w:t>
      </w:r>
      <w:r w:rsidRPr="00224AD3">
        <w:rPr>
          <w:lang w:eastAsia="de-DE"/>
        </w:rPr>
        <w:tab/>
        <w:t>Unterschrift Arbeitgeber</w:t>
      </w:r>
      <w:r w:rsidRPr="00224AD3">
        <w:rPr>
          <w:lang w:eastAsia="de-DE"/>
        </w:rPr>
        <w:tab/>
      </w:r>
      <w:r w:rsidRPr="00224AD3">
        <w:rPr>
          <w:lang w:eastAsia="de-DE"/>
        </w:rPr>
        <w:tab/>
      </w:r>
      <w:r w:rsidRPr="00224AD3">
        <w:rPr>
          <w:lang w:eastAsia="de-DE"/>
        </w:rPr>
        <w:tab/>
        <w:t>Unterschrift Personalrat</w:t>
      </w:r>
    </w:p>
    <w:p w14:paraId="371F8CB9" w14:textId="77777777" w:rsidR="00F53B07" w:rsidRDefault="00F53B07" w:rsidP="00F53B07">
      <w:pPr>
        <w:jc w:val="both"/>
        <w:rPr>
          <w:lang w:eastAsia="de-DE"/>
        </w:rPr>
      </w:pPr>
    </w:p>
    <w:p w14:paraId="038E2F37" w14:textId="77777777" w:rsidR="00EE28C9" w:rsidRPr="00BB61F6" w:rsidRDefault="00EE28C9" w:rsidP="00EE28C9">
      <w:pPr>
        <w:jc w:val="both"/>
        <w:rPr>
          <w:rPrChange w:id="0" w:author="admin" w:date="2026-03-31T15:59:00Z">
            <w:rPr>
              <w:noProof/>
            </w:rPr>
          </w:rPrChang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5195994"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10</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73CA" w14:textId="77777777" w:rsidR="001505C3" w:rsidRDefault="001505C3" w:rsidP="00BF7674">
      <w:r>
        <w:separator/>
      </w:r>
    </w:p>
  </w:endnote>
  <w:endnote w:type="continuationSeparator" w:id="0">
    <w:p w14:paraId="10122B90" w14:textId="77777777" w:rsidR="001505C3" w:rsidRDefault="001505C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CF51" w14:textId="77777777" w:rsidR="001505C3" w:rsidRDefault="001505C3" w:rsidP="00BF7674">
      <w:r>
        <w:separator/>
      </w:r>
    </w:p>
  </w:footnote>
  <w:footnote w:type="continuationSeparator" w:id="0">
    <w:p w14:paraId="4ACC0269" w14:textId="77777777" w:rsidR="001505C3" w:rsidRDefault="001505C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5C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8024</Characters>
  <Application>Microsoft Office Word</Application>
  <DocSecurity>0</DocSecurity>
  <Lines>186</Lines>
  <Paragraphs>70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2026-04-13T08:14:00Z</dcterms:created>
  <dcterms:modified xsi:type="dcterms:W3CDTF">2026-04-13T08:14:00Z</dcterms:modified>
  <cp:category/>
</cp:coreProperties>
</file>