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6CD39" w14:textId="77777777" w:rsidR="00A7279D" w:rsidRPr="00A7279D" w:rsidRDefault="00A7279D" w:rsidP="00A7279D">
      <w:pPr>
        <w:pStyle w:val="PNLSubhead"/>
        <w:outlineLvl w:val="0"/>
      </w:pPr>
      <w:r w:rsidRPr="00A7279D">
        <w:t>Muster: Diese Dienstvereinbarung regelt die Gefährdungsbeurteilung</w:t>
      </w:r>
    </w:p>
    <w:p w14:paraId="3BCBCA8D" w14:textId="77777777" w:rsidR="00A7279D" w:rsidRPr="00A7279D" w:rsidRDefault="00A7279D" w:rsidP="00A7279D">
      <w:pPr>
        <w:pStyle w:val="TextA"/>
        <w:jc w:val="center"/>
        <w:rPr>
          <w:b/>
          <w:bCs/>
          <w:i/>
          <w:iCs/>
        </w:rPr>
      </w:pPr>
      <w:r w:rsidRPr="00A7279D">
        <w:rPr>
          <w:b/>
          <w:bCs/>
          <w:i/>
          <w:iCs/>
        </w:rPr>
        <w:t>Dienstvereinbarung</w:t>
      </w:r>
    </w:p>
    <w:p w14:paraId="14266651" w14:textId="77777777" w:rsidR="00A7279D" w:rsidRPr="00A7279D" w:rsidRDefault="00A7279D" w:rsidP="00A7279D">
      <w:pPr>
        <w:pStyle w:val="TextA"/>
        <w:jc w:val="center"/>
        <w:rPr>
          <w:b/>
          <w:bCs/>
          <w:i/>
          <w:iCs/>
        </w:rPr>
      </w:pPr>
      <w:r w:rsidRPr="00A7279D">
        <w:rPr>
          <w:b/>
          <w:bCs/>
          <w:i/>
          <w:iCs/>
        </w:rPr>
        <w:t>zwischen</w:t>
      </w:r>
    </w:p>
    <w:p w14:paraId="2030008D" w14:textId="77777777" w:rsidR="00A7279D" w:rsidRPr="00A7279D" w:rsidRDefault="00A7279D" w:rsidP="00A7279D">
      <w:pPr>
        <w:pStyle w:val="TextA"/>
        <w:jc w:val="center"/>
        <w:rPr>
          <w:b/>
          <w:bCs/>
          <w:i/>
          <w:iCs/>
        </w:rPr>
      </w:pPr>
      <w:r w:rsidRPr="00A7279D">
        <w:rPr>
          <w:b/>
          <w:bCs/>
          <w:i/>
          <w:iCs/>
        </w:rPr>
        <w:t>der Dienststelle .....................</w:t>
      </w:r>
    </w:p>
    <w:p w14:paraId="6C91F3DE" w14:textId="77777777" w:rsidR="00A7279D" w:rsidRPr="00A7279D" w:rsidRDefault="00A7279D" w:rsidP="00A7279D">
      <w:pPr>
        <w:pStyle w:val="TextA"/>
        <w:jc w:val="center"/>
        <w:rPr>
          <w:b/>
          <w:bCs/>
          <w:i/>
          <w:iCs/>
        </w:rPr>
      </w:pPr>
      <w:r w:rsidRPr="00A7279D">
        <w:rPr>
          <w:b/>
          <w:bCs/>
          <w:i/>
          <w:iCs/>
        </w:rPr>
        <w:t>vertreten durch die Dienststellenleitung</w:t>
      </w:r>
    </w:p>
    <w:p w14:paraId="364572E7" w14:textId="77777777" w:rsidR="00A7279D" w:rsidRPr="00A7279D" w:rsidRDefault="00A7279D" w:rsidP="00A7279D">
      <w:pPr>
        <w:pStyle w:val="TextA"/>
        <w:jc w:val="center"/>
        <w:rPr>
          <w:b/>
          <w:bCs/>
          <w:i/>
          <w:iCs/>
        </w:rPr>
      </w:pPr>
    </w:p>
    <w:p w14:paraId="2155C6EF" w14:textId="77777777" w:rsidR="00A7279D" w:rsidRPr="00A7279D" w:rsidRDefault="00A7279D" w:rsidP="00A7279D">
      <w:pPr>
        <w:pStyle w:val="TextA"/>
        <w:jc w:val="center"/>
        <w:rPr>
          <w:b/>
          <w:bCs/>
          <w:i/>
          <w:iCs/>
        </w:rPr>
      </w:pPr>
      <w:r w:rsidRPr="00A7279D">
        <w:rPr>
          <w:b/>
          <w:bCs/>
          <w:i/>
          <w:iCs/>
        </w:rPr>
        <w:t>und</w:t>
      </w:r>
    </w:p>
    <w:p w14:paraId="72BD8F72" w14:textId="77777777" w:rsidR="00A7279D" w:rsidRPr="00A7279D" w:rsidRDefault="00A7279D" w:rsidP="00A7279D">
      <w:pPr>
        <w:pStyle w:val="TextA"/>
        <w:jc w:val="center"/>
        <w:rPr>
          <w:b/>
          <w:bCs/>
          <w:i/>
          <w:iCs/>
        </w:rPr>
      </w:pPr>
      <w:r w:rsidRPr="00A7279D">
        <w:rPr>
          <w:b/>
          <w:bCs/>
          <w:i/>
          <w:iCs/>
        </w:rPr>
        <w:t>dem Personalrat ...................</w:t>
      </w:r>
    </w:p>
    <w:p w14:paraId="6D34F356" w14:textId="77777777" w:rsidR="00A7279D" w:rsidRPr="00A7279D" w:rsidRDefault="00A7279D" w:rsidP="00A7279D">
      <w:pPr>
        <w:pStyle w:val="TextA"/>
        <w:jc w:val="center"/>
        <w:rPr>
          <w:b/>
          <w:bCs/>
          <w:i/>
          <w:iCs/>
        </w:rPr>
      </w:pPr>
      <w:r w:rsidRPr="00A7279D">
        <w:rPr>
          <w:b/>
          <w:bCs/>
          <w:i/>
          <w:iCs/>
        </w:rPr>
        <w:t>vertreten durch den/die Vorsitzende/n</w:t>
      </w:r>
    </w:p>
    <w:p w14:paraId="23680BE0" w14:textId="77777777" w:rsidR="00A7279D" w:rsidRPr="00A7279D" w:rsidRDefault="00A7279D" w:rsidP="00A7279D">
      <w:pPr>
        <w:pStyle w:val="TextA"/>
        <w:jc w:val="both"/>
        <w:rPr>
          <w:i/>
          <w:iCs/>
        </w:rPr>
      </w:pPr>
    </w:p>
    <w:p w14:paraId="699C5DEC" w14:textId="5E6EFCA2" w:rsidR="00A7279D" w:rsidRPr="00A7279D" w:rsidRDefault="00A7279D" w:rsidP="00A7279D">
      <w:pPr>
        <w:pStyle w:val="berschrift3"/>
        <w:rPr>
          <w:b/>
          <w:bCs/>
          <w:i/>
          <w:iCs/>
        </w:rPr>
      </w:pPr>
      <w:r w:rsidRPr="00A7279D">
        <w:rPr>
          <w:i/>
          <w:iCs/>
        </w:rPr>
        <w:t>zur Durchführung von Gefährdungsbeurteilungen</w:t>
      </w:r>
      <w:r>
        <w:rPr>
          <w:i/>
          <w:iCs/>
        </w:rPr>
        <w:t xml:space="preserve"> für psychische Belastungen</w:t>
      </w:r>
    </w:p>
    <w:p w14:paraId="2ECC26DD" w14:textId="77777777" w:rsidR="00A7279D" w:rsidRPr="00A7279D" w:rsidRDefault="00A7279D" w:rsidP="00A7279D">
      <w:pPr>
        <w:pStyle w:val="jm1a"/>
        <w:widowControl w:val="0"/>
        <w:rPr>
          <w:rFonts w:ascii="Times New Roman" w:hAnsi="Times New Roman"/>
          <w:i/>
          <w:iCs/>
          <w:sz w:val="24"/>
          <w:szCs w:val="24"/>
        </w:rPr>
      </w:pPr>
      <w:r w:rsidRPr="00A7279D">
        <w:rPr>
          <w:rFonts w:ascii="Times New Roman" w:hAnsi="Times New Roman"/>
          <w:b/>
          <w:bCs/>
          <w:i/>
          <w:iCs/>
          <w:sz w:val="24"/>
          <w:szCs w:val="24"/>
        </w:rPr>
        <w:t>Vorbemerkung</w:t>
      </w:r>
      <w:r w:rsidRPr="00A7279D">
        <w:rPr>
          <w:rFonts w:ascii="Times New Roman" w:hAnsi="Times New Roman"/>
          <w:i/>
          <w:iCs/>
          <w:sz w:val="24"/>
          <w:szCs w:val="24"/>
        </w:rPr>
        <w:t>: Aus Gründen der besseren Lesbarkeit wurde die männliche Sprachform bei der Formulierung dieser Dienstvereinbarung gewählt. Personalrat und Dienstherr versichern, dass sie alle Arbeitnehmerinnen und Arbeitnehmer und andere Personen diskriminierungsfrei und gleichberechtigt behandeln werden.</w:t>
      </w:r>
    </w:p>
    <w:tbl>
      <w:tblPr>
        <w:tblW w:w="5000" w:type="pct"/>
        <w:shd w:val="clear" w:color="auto" w:fill="F1F5F7"/>
        <w:tblCellMar>
          <w:left w:w="0" w:type="dxa"/>
          <w:right w:w="0" w:type="dxa"/>
        </w:tblCellMar>
        <w:tblLook w:val="04A0" w:firstRow="1" w:lastRow="0" w:firstColumn="1" w:lastColumn="0" w:noHBand="0" w:noVBand="1"/>
      </w:tblPr>
      <w:tblGrid>
        <w:gridCol w:w="9064"/>
      </w:tblGrid>
      <w:tr w:rsidR="00A7279D" w:rsidRPr="00A7279D" w14:paraId="7E5E2206" w14:textId="77777777" w:rsidTr="0034067F">
        <w:tc>
          <w:tcPr>
            <w:tcW w:w="0" w:type="auto"/>
            <w:shd w:val="clear" w:color="auto" w:fill="F1F5F7"/>
            <w:hideMark/>
          </w:tcPr>
          <w:tbl>
            <w:tblPr>
              <w:tblW w:w="9600" w:type="dxa"/>
              <w:jc w:val="center"/>
              <w:tblCellMar>
                <w:left w:w="0" w:type="dxa"/>
                <w:right w:w="0" w:type="dxa"/>
              </w:tblCellMar>
              <w:tblLook w:val="04A0" w:firstRow="1" w:lastRow="0" w:firstColumn="1" w:lastColumn="0" w:noHBand="0" w:noVBand="1"/>
            </w:tblPr>
            <w:tblGrid>
              <w:gridCol w:w="9064"/>
            </w:tblGrid>
            <w:tr w:rsidR="00A7279D" w:rsidRPr="00BC471E" w14:paraId="4D6E4062" w14:textId="77777777" w:rsidTr="0034067F">
              <w:trPr>
                <w:jc w:val="center"/>
              </w:trPr>
              <w:tc>
                <w:tcPr>
                  <w:tcW w:w="0" w:type="auto"/>
                  <w:shd w:val="clear" w:color="auto" w:fill="FFFFFF"/>
                  <w:tcMar>
                    <w:top w:w="150" w:type="dxa"/>
                    <w:left w:w="0" w:type="dxa"/>
                    <w:bottom w:w="150" w:type="dxa"/>
                    <w:right w:w="0" w:type="dxa"/>
                  </w:tcMar>
                  <w:hideMark/>
                </w:tcPr>
                <w:tbl>
                  <w:tblPr>
                    <w:tblW w:w="5000" w:type="pct"/>
                    <w:jc w:val="center"/>
                    <w:shd w:val="clear" w:color="auto" w:fill="F5FDFF"/>
                    <w:tblCellMar>
                      <w:left w:w="0" w:type="dxa"/>
                      <w:right w:w="0" w:type="dxa"/>
                    </w:tblCellMar>
                    <w:tblLook w:val="04A0" w:firstRow="1" w:lastRow="0" w:firstColumn="1" w:lastColumn="0" w:noHBand="0" w:noVBand="1"/>
                  </w:tblPr>
                  <w:tblGrid>
                    <w:gridCol w:w="9064"/>
                  </w:tblGrid>
                  <w:tr w:rsidR="00A7279D" w:rsidRPr="00BC471E" w14:paraId="11F0DA82" w14:textId="77777777" w:rsidTr="0034067F">
                    <w:trPr>
                      <w:jc w:val="center"/>
                    </w:trPr>
                    <w:tc>
                      <w:tcPr>
                        <w:tcW w:w="0" w:type="auto"/>
                        <w:shd w:val="clear" w:color="auto" w:fill="F5FD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A7279D" w:rsidRPr="00BC471E" w14:paraId="268290A4" w14:textId="77777777" w:rsidTr="0034067F">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600"/>
                              </w:tblGrid>
                              <w:tr w:rsidR="00A7279D" w:rsidRPr="00BC471E" w14:paraId="12A144F1" w14:textId="77777777" w:rsidTr="0034067F">
                                <w:trPr>
                                  <w:jc w:val="center"/>
                                </w:trPr>
                                <w:tc>
                                  <w:tcPr>
                                    <w:tcW w:w="0" w:type="auto"/>
                                    <w:tcMar>
                                      <w:top w:w="150" w:type="dxa"/>
                                      <w:left w:w="300" w:type="dxa"/>
                                      <w:bottom w:w="150" w:type="dxa"/>
                                      <w:right w:w="300" w:type="dxa"/>
                                    </w:tcMar>
                                    <w:vAlign w:val="center"/>
                                    <w:hideMark/>
                                  </w:tcPr>
                                  <w:p w14:paraId="68FBB6FD" w14:textId="77777777" w:rsidR="00A7279D" w:rsidRPr="00BC471E" w:rsidRDefault="00A7279D" w:rsidP="0034067F">
                                    <w:pPr>
                                      <w:spacing w:line="295" w:lineRule="atLeast"/>
                                    </w:pPr>
                                    <w:r w:rsidRPr="00BC471E">
                                      <w:rPr>
                                        <w:b/>
                                        <w:bCs/>
                                      </w:rPr>
                                      <w:t>Präambel</w:t>
                                    </w:r>
                                    <w:r w:rsidRPr="00BC471E">
                                      <w:br/>
                                      <w:t>Ziel dieser Vereinbarung ist es, die nach § 5 ArbSchG gesetzlich vorgeschriebene Gefährdungsbeurteilung systematisch umzusetzen. Dabei sollen sowohl körperliche als auch psychische Belastungen berücksichtigt werden. Dienststellenleitung und Personalrat sind sich einig, dass ein wirksamer Arbeitsschutz im gemeinsamen Interesse liegt. Die Beteiligung der Beschäftigten ist dabei ein zentrales Element.</w:t>
                                    </w:r>
                                    <w:r w:rsidRPr="00BC471E">
                                      <w:br/>
                                    </w:r>
                                    <w:r w:rsidRPr="00BC471E">
                                      <w:br/>
                                    </w:r>
                                    <w:r w:rsidRPr="00BC471E">
                                      <w:rPr>
                                        <w:b/>
                                        <w:bCs/>
                                      </w:rPr>
                                      <w:t>§ 1 – Geltungsbereich</w:t>
                                    </w:r>
                                    <w:r w:rsidRPr="00BC471E">
                                      <w:br/>
                                      <w:t>Diese Dienstvereinbarung gilt für alle Beschäftigten der Dienststelle an allen Standorten.</w:t>
                                    </w:r>
                                    <w:r w:rsidRPr="00BC471E">
                                      <w:br/>
                                    </w:r>
                                    <w:r w:rsidRPr="00BC471E">
                                      <w:br/>
                                    </w:r>
                                    <w:r w:rsidRPr="00BC471E">
                                      <w:rPr>
                                        <w:b/>
                                        <w:bCs/>
                                      </w:rPr>
                                      <w:t>§ 2 – Begriffsbestimmungen</w:t>
                                    </w:r>
                                  </w:p>
                                  <w:p w14:paraId="1BA7E56C" w14:textId="77777777" w:rsidR="00A7279D" w:rsidRPr="00BC471E" w:rsidRDefault="00A7279D" w:rsidP="00A7279D">
                                    <w:pPr>
                                      <w:numPr>
                                        <w:ilvl w:val="0"/>
                                        <w:numId w:val="193"/>
                                      </w:numPr>
                                      <w:spacing w:before="100" w:beforeAutospacing="1" w:after="100" w:afterAutospacing="1" w:line="295" w:lineRule="atLeast"/>
                                    </w:pPr>
                                    <w:r w:rsidRPr="00BC471E">
                                      <w:rPr>
                                        <w:b/>
                                        <w:bCs/>
                                      </w:rPr>
                                      <w:t>Gefährdung:</w:t>
                                    </w:r>
                                    <w:r w:rsidRPr="00BC471E">
                                      <w:t> Die Möglichkeit eines Schadens oder einer gesundheitlichen Beeinträchtigung ohne Rücksicht auf Ausmaß oder Wahrscheinlichkeit.</w:t>
                                    </w:r>
                                  </w:p>
                                  <w:p w14:paraId="13192E17" w14:textId="77777777" w:rsidR="00A7279D" w:rsidRPr="00BC471E" w:rsidRDefault="00A7279D" w:rsidP="00A7279D">
                                    <w:pPr>
                                      <w:numPr>
                                        <w:ilvl w:val="0"/>
                                        <w:numId w:val="193"/>
                                      </w:numPr>
                                      <w:spacing w:before="100" w:beforeAutospacing="1" w:after="100" w:afterAutospacing="1" w:line="295" w:lineRule="atLeast"/>
                                    </w:pPr>
                                    <w:r w:rsidRPr="00BC471E">
                                      <w:rPr>
                                        <w:b/>
                                        <w:bCs/>
                                      </w:rPr>
                                      <w:t>Gefährdungsbeurteilung:</w:t>
                                    </w:r>
                                    <w:r w:rsidRPr="00BC471E">
                                      <w:t> Die systematische Ermittlung und Bewertung von Gefährdungen mit dem Ziel, geeignete Arbeitsschutzmaßnahmen abzuleiten.</w:t>
                                    </w:r>
                                  </w:p>
                                  <w:p w14:paraId="4809D144" w14:textId="77777777" w:rsidR="00A7279D" w:rsidRPr="00BC471E" w:rsidRDefault="00A7279D" w:rsidP="00A7279D">
                                    <w:pPr>
                                      <w:numPr>
                                        <w:ilvl w:val="0"/>
                                        <w:numId w:val="193"/>
                                      </w:numPr>
                                      <w:spacing w:before="100" w:beforeAutospacing="1" w:after="100" w:afterAutospacing="1" w:line="295" w:lineRule="atLeast"/>
                                    </w:pPr>
                                    <w:r w:rsidRPr="00BC471E">
                                      <w:rPr>
                                        <w:b/>
                                        <w:bCs/>
                                      </w:rPr>
                                      <w:t>Psychische Belastung:</w:t>
                                    </w:r>
                                    <w:r w:rsidRPr="00BC471E">
                                      <w:t> Die Gesamtheit aller Einflüsse, die auf die Psyche bei der Arbeit einwirken können, z. B. durch Arbeitsorganisation, soziale Beziehungen oder Arbeitsumgebung.</w:t>
                                    </w:r>
                                  </w:p>
                                  <w:p w14:paraId="3BADFE49" w14:textId="77777777" w:rsidR="00A7279D" w:rsidRPr="00BC471E" w:rsidRDefault="00A7279D" w:rsidP="0034067F">
                                    <w:pPr>
                                      <w:spacing w:line="295" w:lineRule="atLeast"/>
                                    </w:pPr>
                                    <w:r w:rsidRPr="00BC471E">
                                      <w:br/>
                                    </w:r>
                                    <w:r w:rsidRPr="00BC471E">
                                      <w:rPr>
                                        <w:b/>
                                        <w:bCs/>
                                      </w:rPr>
                                      <w:t>§ 3 – Ziele</w:t>
                                    </w:r>
                                    <w:r w:rsidRPr="00BC471E">
                                      <w:br/>
                                      <w:t>Die Gefährdungsbeurteilung soll:</w:t>
                                    </w:r>
                                  </w:p>
                                  <w:p w14:paraId="1D011588" w14:textId="77777777" w:rsidR="00A7279D" w:rsidRPr="00BC471E" w:rsidRDefault="00A7279D" w:rsidP="00A7279D">
                                    <w:pPr>
                                      <w:numPr>
                                        <w:ilvl w:val="0"/>
                                        <w:numId w:val="194"/>
                                      </w:numPr>
                                      <w:spacing w:before="100" w:beforeAutospacing="1" w:after="100" w:afterAutospacing="1" w:line="295" w:lineRule="atLeast"/>
                                    </w:pPr>
                                    <w:r w:rsidRPr="00BC471E">
                                      <w:t>bestehende Gefährdungen identifizieren,</w:t>
                                    </w:r>
                                  </w:p>
                                  <w:p w14:paraId="4DA3C22B" w14:textId="77777777" w:rsidR="00A7279D" w:rsidRPr="00BC471E" w:rsidRDefault="00A7279D" w:rsidP="00A7279D">
                                    <w:pPr>
                                      <w:numPr>
                                        <w:ilvl w:val="0"/>
                                        <w:numId w:val="194"/>
                                      </w:numPr>
                                      <w:spacing w:before="100" w:beforeAutospacing="1" w:after="100" w:afterAutospacing="1" w:line="295" w:lineRule="atLeast"/>
                                    </w:pPr>
                                    <w:r w:rsidRPr="00BC471E">
                                      <w:t>konkrete Maßnahmen zur Gefahrenvermeidung oder -reduzierung festlegen,</w:t>
                                    </w:r>
                                  </w:p>
                                  <w:p w14:paraId="1E5CDB91" w14:textId="77777777" w:rsidR="00A7279D" w:rsidRPr="00BC471E" w:rsidRDefault="00A7279D" w:rsidP="00A7279D">
                                    <w:pPr>
                                      <w:numPr>
                                        <w:ilvl w:val="0"/>
                                        <w:numId w:val="194"/>
                                      </w:numPr>
                                      <w:spacing w:before="100" w:beforeAutospacing="1" w:after="100" w:afterAutospacing="1" w:line="295" w:lineRule="atLeast"/>
                                    </w:pPr>
                                    <w:r w:rsidRPr="00BC471E">
                                      <w:t>die Arbeitsbedingungen im Sinne des Gesundheitsschutzes verbessern und</w:t>
                                    </w:r>
                                  </w:p>
                                  <w:p w14:paraId="6B600B63" w14:textId="77777777" w:rsidR="00A7279D" w:rsidRPr="00BC471E" w:rsidRDefault="00A7279D" w:rsidP="00A7279D">
                                    <w:pPr>
                                      <w:numPr>
                                        <w:ilvl w:val="0"/>
                                        <w:numId w:val="194"/>
                                      </w:numPr>
                                      <w:spacing w:before="100" w:beforeAutospacing="1" w:after="100" w:afterAutospacing="1" w:line="295" w:lineRule="atLeast"/>
                                    </w:pPr>
                                    <w:r w:rsidRPr="00BC471E">
                                      <w:t>regelmäßig überprüft und angepasst werden.</w:t>
                                    </w:r>
                                  </w:p>
                                  <w:p w14:paraId="5EA1BA44" w14:textId="77777777" w:rsidR="00A7279D" w:rsidRPr="00BC471E" w:rsidRDefault="00A7279D" w:rsidP="0034067F">
                                    <w:pPr>
                                      <w:spacing w:line="295" w:lineRule="atLeast"/>
                                    </w:pPr>
                                    <w:r w:rsidRPr="00BC471E">
                                      <w:rPr>
                                        <w:b/>
                                        <w:bCs/>
                                      </w:rPr>
                                      <w:t>§ 4 – Kontrollgremium und Zuständigkeiten</w:t>
                                    </w:r>
                                    <w:r w:rsidRPr="00BC471E">
                                      <w:br/>
                                      <w:t>(1) Die Durchführung obliegt der Sicherheitsfachkraft bzw. dem Arbeitsschutzmanagement.</w:t>
                                    </w:r>
                                    <w:r w:rsidRPr="00BC471E">
                                      <w:br/>
                                      <w:t>(2) Die Ergebnisse werden regelmäßig im Arbeitsschutzausschuss (ASA) besprochen.</w:t>
                                    </w:r>
                                    <w:r w:rsidRPr="00BC471E">
                                      <w:br/>
                                      <w:t>(3) Der Dienstherr verpflichtet sich, die Mitglieder des ASA für ihre Aufgaben zu schulen.</w:t>
                                    </w:r>
                                    <w:r w:rsidRPr="00BC471E">
                                      <w:br/>
                                    </w:r>
                                    <w:r w:rsidRPr="00BC471E">
                                      <w:lastRenderedPageBreak/>
                                      <w:t>(4) Der Personalrat ist über alle Schritte zu informieren und aktiv zu beteiligen.</w:t>
                                    </w:r>
                                    <w:r w:rsidRPr="00BC471E">
                                      <w:br/>
                                    </w:r>
                                    <w:r w:rsidRPr="00BC471E">
                                      <w:br/>
                                    </w:r>
                                    <w:r w:rsidRPr="00BC471E">
                                      <w:rPr>
                                        <w:b/>
                                        <w:bCs/>
                                      </w:rPr>
                                      <w:t>§ 5 – Durchführung der Gefährdungsbeurteilung</w:t>
                                    </w:r>
                                    <w:r w:rsidRPr="00BC471E">
                                      <w:br/>
                                      <w:t>Die Gefährdungsbeurteilung erfolgt in folgenden Schritten:</w:t>
                                    </w:r>
                                  </w:p>
                                  <w:p w14:paraId="7D73B2B8" w14:textId="77777777" w:rsidR="00A7279D" w:rsidRPr="00BC471E" w:rsidRDefault="00A7279D" w:rsidP="00A7279D">
                                    <w:pPr>
                                      <w:numPr>
                                        <w:ilvl w:val="0"/>
                                        <w:numId w:val="195"/>
                                      </w:numPr>
                                      <w:spacing w:before="100" w:beforeAutospacing="1" w:after="100" w:afterAutospacing="1" w:line="295" w:lineRule="atLeast"/>
                                    </w:pPr>
                                    <w:r w:rsidRPr="00BC471E">
                                      <w:t>Ermittlung der Gefährdungen (Begehungen, Interviews, Befragungen)</w:t>
                                    </w:r>
                                  </w:p>
                                  <w:p w14:paraId="5A9C2BE3" w14:textId="77777777" w:rsidR="00A7279D" w:rsidRPr="00BC471E" w:rsidRDefault="00A7279D" w:rsidP="00A7279D">
                                    <w:pPr>
                                      <w:numPr>
                                        <w:ilvl w:val="0"/>
                                        <w:numId w:val="195"/>
                                      </w:numPr>
                                      <w:spacing w:before="100" w:beforeAutospacing="1" w:after="100" w:afterAutospacing="1" w:line="295" w:lineRule="atLeast"/>
                                    </w:pPr>
                                    <w:r w:rsidRPr="00BC471E">
                                      <w:t>Bewertung der Gefährdungen nach Dringlichkeit und Risikopotenzial</w:t>
                                    </w:r>
                                  </w:p>
                                  <w:p w14:paraId="344C84A6" w14:textId="77777777" w:rsidR="00A7279D" w:rsidRPr="00BC471E" w:rsidRDefault="00A7279D" w:rsidP="00A7279D">
                                    <w:pPr>
                                      <w:numPr>
                                        <w:ilvl w:val="0"/>
                                        <w:numId w:val="195"/>
                                      </w:numPr>
                                      <w:spacing w:before="100" w:beforeAutospacing="1" w:after="100" w:afterAutospacing="1" w:line="295" w:lineRule="atLeast"/>
                                    </w:pPr>
                                    <w:r w:rsidRPr="00BC471E">
                                      <w:t>Maßnahmenfestlegung und Umsetzung</w:t>
                                    </w:r>
                                  </w:p>
                                  <w:p w14:paraId="76899E55" w14:textId="77777777" w:rsidR="00A7279D" w:rsidRPr="00BC471E" w:rsidRDefault="00A7279D" w:rsidP="00A7279D">
                                    <w:pPr>
                                      <w:numPr>
                                        <w:ilvl w:val="0"/>
                                        <w:numId w:val="195"/>
                                      </w:numPr>
                                      <w:spacing w:before="100" w:beforeAutospacing="1" w:after="100" w:afterAutospacing="1" w:line="295" w:lineRule="atLeast"/>
                                    </w:pPr>
                                    <w:r w:rsidRPr="00BC471E">
                                      <w:t>Wirksamkeitskontrolle und ggf. Anpassung der Maßnahmen</w:t>
                                    </w:r>
                                  </w:p>
                                  <w:p w14:paraId="188C0E67" w14:textId="77777777" w:rsidR="00A7279D" w:rsidRPr="00BC471E" w:rsidRDefault="00A7279D" w:rsidP="0034067F">
                                    <w:pPr>
                                      <w:spacing w:line="295" w:lineRule="atLeast"/>
                                      <w:rPr>
                                        <w:i/>
                                        <w:iCs/>
                                      </w:rPr>
                                    </w:pPr>
                                    <w:r w:rsidRPr="00BC471E">
                                      <w:rPr>
                                        <w:b/>
                                        <w:bCs/>
                                      </w:rPr>
                                      <w:t>§ 6 – Einbeziehung der Beschäftigten (Fragebogen)</w:t>
                                    </w:r>
                                    <w:r w:rsidRPr="00BC471E">
                                      <w:br/>
                                      <w:t>(1) Zur Ermittlung psychischer Belastungen wird ein anonymisierter Fragebogen verwendet, der gemeinsam von der Dienststellenleitung und dem Personalrat erstellt wird.</w:t>
                                    </w:r>
                                    <w:r w:rsidRPr="00BC471E">
                                      <w:br/>
                                      <w:t>(2) Die Befragung erfolgt freiwillig, anonym und eigenverantwortlich.</w:t>
                                    </w:r>
                                    <w:r w:rsidRPr="00BC471E">
                                      <w:br/>
                                      <w:t>(3) Die Auswertung erfolgt gemeinsam, die Ergebnisse werden mit den Beschäftigten kommuniziert.</w:t>
                                    </w:r>
                                    <w:r w:rsidRPr="00BC471E">
                                      <w:br/>
                                      <w:t>(4) Aus den Ergebnissen werden gezielte Maßnahmen abgeleitet.</w:t>
                                    </w:r>
                                    <w:r w:rsidRPr="00BC471E">
                                      <w:br/>
                                    </w:r>
                                    <w:r w:rsidRPr="00BC471E">
                                      <w:br/>
                                    </w:r>
                                    <w:r w:rsidRPr="00BC471E">
                                      <w:rPr>
                                        <w:b/>
                                        <w:bCs/>
                                      </w:rPr>
                                      <w:t>§ 7 – Zeitliche Abläufe</w:t>
                                    </w:r>
                                    <w:r w:rsidRPr="00BC471E">
                                      <w:br/>
                                      <w:t>(1) Die Gefährdungsbeurteilung wird regelmäßig alle zwei Jahre durchgeführt.</w:t>
                                    </w:r>
                                    <w:r w:rsidRPr="00BC471E">
                                      <w:br/>
                                      <w:t>(2) Bei wesentlichen Änderungen (z. B. Umstrukturierungen, neue Arbeitsmittel) erfolgt eine sofortige Überprüfung.</w:t>
                                    </w:r>
                                    <w:r w:rsidRPr="00BC471E">
                                      <w:br/>
                                      <w:t>(3) Bei neuen Arbeitsplätzen ist die Beurteilung vor Aufnahme der Tätigkeit durchzuführen.</w:t>
                                    </w:r>
                                    <w:r w:rsidRPr="00BC471E">
                                      <w:br/>
                                    </w:r>
                                    <w:r w:rsidRPr="00BC471E">
                                      <w:br/>
                                    </w:r>
                                    <w:r w:rsidRPr="00BC471E">
                                      <w:rPr>
                                        <w:b/>
                                        <w:bCs/>
                                      </w:rPr>
                                      <w:t>§ 8 – Dokumentation</w:t>
                                    </w:r>
                                    <w:r w:rsidRPr="00BC471E">
                                      <w:br/>
                                      <w:t>(1) Die Ergebnisse werden von der Sicherheitsfachkraft dokumentiert.</w:t>
                                    </w:r>
                                    <w:r w:rsidRPr="00BC471E">
                                      <w:br/>
                                      <w:t>(2) Der Personalrat erhält eine vollständige Ausfertigung.</w:t>
                                    </w:r>
                                    <w:r w:rsidRPr="00BC471E">
                                      <w:br/>
                                      <w:t>(3) Die Maßnahmenumsetzung wird dokumentiert, deren Wirkung nach __ Monaten überprüft.</w:t>
                                    </w:r>
                                    <w:r w:rsidRPr="00BC471E">
                                      <w:br/>
                                      <w:t>(4) Die Ergebnisse sind auf Anfrage der zuständigen Aufsichtsbehörden vorzulegen.</w:t>
                                    </w:r>
                                    <w:r w:rsidRPr="00BC471E">
                                      <w:br/>
                                    </w:r>
                                    <w:r w:rsidRPr="00BC471E">
                                      <w:br/>
                                    </w:r>
                                    <w:r w:rsidRPr="00BC471E">
                                      <w:rPr>
                                        <w:b/>
                                        <w:bCs/>
                                      </w:rPr>
                                      <w:t>§ 9 – Vertraulichkeit</w:t>
                                    </w:r>
                                    <w:r w:rsidRPr="00BC471E">
                                      <w:br/>
                                      <w:t>(1) Alle am Verfahren Beteiligten verpflichten sich zur Vertraulichkeit.</w:t>
                                    </w:r>
                                    <w:r w:rsidRPr="00BC471E">
                                      <w:br/>
                                      <w:t>(2) Insbesondere personenbezogene Daten aus Interviews oder Befragungen dürfen nicht zugeordnet oder weitergegeben werden.</w:t>
                                    </w:r>
                                    <w:r w:rsidRPr="00BC471E">
                                      <w:br/>
                                      <w:t>(3) Die Veröffentlichung von Ergebnissen erfolgt stets in anonymisierter Form.</w:t>
                                    </w:r>
                                    <w:r w:rsidRPr="00BC471E">
                                      <w:br/>
                                    </w:r>
                                    <w:r w:rsidRPr="00BC471E">
                                      <w:br/>
                                    </w:r>
                                    <w:r w:rsidRPr="00BC471E">
                                      <w:rPr>
                                        <w:b/>
                                        <w:bCs/>
                                      </w:rPr>
                                      <w:t>§ 10 – Schlussbestimmungen</w:t>
                                    </w:r>
                                    <w:r w:rsidRPr="00BC471E">
                                      <w:br/>
                                      <w:t>(1) Diese Vereinbarung tritt mit Unterzeichnung in Kraft.</w:t>
                                    </w:r>
                                    <w:r w:rsidRPr="00BC471E">
                                      <w:br/>
                                      <w:t>(2) Sie kann von beiden Seiten mit einer Frist von 3 Monaten zum Quartalsende schriftlich gekündigt werden.</w:t>
                                    </w:r>
                                    <w:r w:rsidRPr="00BC471E">
                                      <w:br/>
                                      <w:t>(3) Im Fall der Kündigung gilt sie bis zum Abschluss einer neuen Vereinbarung fort.</w:t>
                                    </w:r>
                                    <w:r w:rsidRPr="00BC471E">
                                      <w:br/>
                                    </w:r>
                                    <w:r w:rsidRPr="00BC471E">
                                      <w:br/>
                                    </w:r>
                                    <w:r w:rsidRPr="00BC471E">
                                      <w:rPr>
                                        <w:i/>
                                        <w:iCs/>
                                      </w:rPr>
                                      <w:t xml:space="preserve">…, den … </w:t>
                                    </w:r>
                                  </w:p>
                                  <w:p w14:paraId="50115212" w14:textId="77777777" w:rsidR="00A7279D" w:rsidRPr="00BC471E" w:rsidRDefault="00A7279D" w:rsidP="0034067F">
                                    <w:pPr>
                                      <w:spacing w:line="295" w:lineRule="atLeast"/>
                                      <w:rPr>
                                        <w:i/>
                                        <w:iCs/>
                                      </w:rPr>
                                    </w:pPr>
                                  </w:p>
                                  <w:p w14:paraId="43864F69" w14:textId="77777777" w:rsidR="00A7279D" w:rsidRPr="00BC471E" w:rsidRDefault="00A7279D" w:rsidP="0034067F">
                                    <w:pPr>
                                      <w:spacing w:line="295" w:lineRule="atLeast"/>
                                    </w:pPr>
                                    <w:r w:rsidRPr="00BC471E">
                                      <w:rPr>
                                        <w:i/>
                                        <w:iCs/>
                                      </w:rPr>
                                      <w:t>Unterschriften</w:t>
                                    </w:r>
                                  </w:p>
                                </w:tc>
                              </w:tr>
                            </w:tbl>
                            <w:p w14:paraId="4FDE8434" w14:textId="77777777" w:rsidR="00A7279D" w:rsidRPr="00BC471E" w:rsidRDefault="00A7279D" w:rsidP="0034067F">
                              <w:pPr>
                                <w:jc w:val="center"/>
                              </w:pPr>
                            </w:p>
                          </w:tc>
                        </w:tr>
                      </w:tbl>
                      <w:p w14:paraId="79F39D92" w14:textId="77777777" w:rsidR="00A7279D" w:rsidRPr="00BC471E" w:rsidRDefault="00A7279D" w:rsidP="0034067F"/>
                    </w:tc>
                  </w:tr>
                </w:tbl>
                <w:p w14:paraId="5FFB796D" w14:textId="77777777" w:rsidR="00A7279D" w:rsidRPr="00BC471E" w:rsidRDefault="00A7279D" w:rsidP="0034067F">
                  <w:pPr>
                    <w:jc w:val="center"/>
                  </w:pPr>
                </w:p>
              </w:tc>
            </w:tr>
          </w:tbl>
          <w:p w14:paraId="19A8DE20" w14:textId="77777777" w:rsidR="00A7279D" w:rsidRPr="00BC471E" w:rsidRDefault="00A7279D" w:rsidP="0034067F">
            <w:pPr>
              <w:jc w:val="center"/>
              <w:rPr>
                <w:color w:val="082137"/>
              </w:rPr>
            </w:pPr>
          </w:p>
        </w:tc>
      </w:tr>
    </w:tbl>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lastRenderedPageBreak/>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32AF520F"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8A69EC">
        <w:rPr>
          <w:rFonts w:ascii="Arial" w:eastAsia="Times New Roman" w:hAnsi="Arial" w:cs="Arial"/>
          <w:color w:val="868686"/>
          <w:sz w:val="13"/>
          <w:szCs w:val="13"/>
          <w:lang w:eastAsia="de-DE"/>
        </w:rPr>
        <w:t>1</w:t>
      </w:r>
      <w:r w:rsidR="00BC471E">
        <w:rPr>
          <w:rFonts w:ascii="Arial" w:eastAsia="Times New Roman" w:hAnsi="Arial" w:cs="Arial"/>
          <w:color w:val="868686"/>
          <w:sz w:val="13"/>
          <w:szCs w:val="13"/>
          <w:lang w:eastAsia="de-DE"/>
        </w:rPr>
        <w:t>9</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687E" w14:textId="77777777" w:rsidR="0005718F" w:rsidRDefault="0005718F" w:rsidP="00BF7674">
      <w:r>
        <w:separator/>
      </w:r>
    </w:p>
  </w:endnote>
  <w:endnote w:type="continuationSeparator" w:id="0">
    <w:p w14:paraId="582B3014" w14:textId="77777777" w:rsidR="0005718F" w:rsidRDefault="0005718F"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00DB6" w14:textId="77777777" w:rsidR="0005718F" w:rsidRDefault="0005718F" w:rsidP="00BF7674">
      <w:r>
        <w:separator/>
      </w:r>
    </w:p>
  </w:footnote>
  <w:footnote w:type="continuationSeparator" w:id="0">
    <w:p w14:paraId="4694FB81" w14:textId="77777777" w:rsidR="0005718F" w:rsidRDefault="0005718F"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13C51EA3"/>
    <w:multiLevelType w:val="hybridMultilevel"/>
    <w:tmpl w:val="6F36D756"/>
    <w:numStyleLink w:val="ImportierterStil10"/>
  </w:abstractNum>
  <w:abstractNum w:abstractNumId="31"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5"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7"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8A218DF"/>
    <w:multiLevelType w:val="hybridMultilevel"/>
    <w:tmpl w:val="31B2F5D6"/>
    <w:numStyleLink w:val="ImportierterStil11"/>
  </w:abstractNum>
  <w:abstractNum w:abstractNumId="71"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7"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3BD75CAF"/>
    <w:multiLevelType w:val="hybridMultilevel"/>
    <w:tmpl w:val="0478CD40"/>
    <w:numStyleLink w:val="ImportierterStil6"/>
  </w:abstractNum>
  <w:abstractNum w:abstractNumId="94"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5"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9"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7"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1"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4"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9"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4"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7B3364B"/>
    <w:multiLevelType w:val="hybridMultilevel"/>
    <w:tmpl w:val="AF8870F4"/>
    <w:numStyleLink w:val="ImportierterStil9"/>
  </w:abstractNum>
  <w:abstractNum w:abstractNumId="142"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6"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7"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8"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9"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2"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58"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9"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61E3104A"/>
    <w:multiLevelType w:val="hybridMultilevel"/>
    <w:tmpl w:val="C4DC9D80"/>
    <w:numStyleLink w:val="ImportierterStil8"/>
  </w:abstractNum>
  <w:abstractNum w:abstractNumId="161"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4"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72"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6" w15:restartNumberingAfterBreak="0">
    <w:nsid w:val="70EB3671"/>
    <w:multiLevelType w:val="hybridMultilevel"/>
    <w:tmpl w:val="5BF89CC2"/>
    <w:numStyleLink w:val="ImportierterStil12"/>
  </w:abstractNum>
  <w:abstractNum w:abstractNumId="17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35F6101"/>
    <w:multiLevelType w:val="hybridMultilevel"/>
    <w:tmpl w:val="A4189F16"/>
    <w:numStyleLink w:val="ImportierterStil5"/>
  </w:abstractNum>
  <w:abstractNum w:abstractNumId="18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8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83"/>
  </w:num>
  <w:num w:numId="2" w16cid:durableId="573013156">
    <w:abstractNumId w:val="157"/>
  </w:num>
  <w:num w:numId="3" w16cid:durableId="1779830718">
    <w:abstractNumId w:val="49"/>
  </w:num>
  <w:num w:numId="4" w16cid:durableId="725178237">
    <w:abstractNumId w:val="127"/>
  </w:num>
  <w:num w:numId="5" w16cid:durableId="220294192">
    <w:abstractNumId w:val="167"/>
  </w:num>
  <w:num w:numId="6" w16cid:durableId="930698965">
    <w:abstractNumId w:val="177"/>
  </w:num>
  <w:num w:numId="7" w16cid:durableId="1217887320">
    <w:abstractNumId w:val="185"/>
  </w:num>
  <w:num w:numId="8" w16cid:durableId="1581284903">
    <w:abstractNumId w:val="151"/>
  </w:num>
  <w:num w:numId="9" w16cid:durableId="2043164235">
    <w:abstractNumId w:val="146"/>
  </w:num>
  <w:num w:numId="10" w16cid:durableId="359477797">
    <w:abstractNumId w:val="76"/>
  </w:num>
  <w:num w:numId="11" w16cid:durableId="2118863191">
    <w:abstractNumId w:val="148"/>
  </w:num>
  <w:num w:numId="12" w16cid:durableId="1105073630">
    <w:abstractNumId w:val="56"/>
  </w:num>
  <w:num w:numId="13" w16cid:durableId="501816211">
    <w:abstractNumId w:val="16"/>
  </w:num>
  <w:num w:numId="14" w16cid:durableId="2087798823">
    <w:abstractNumId w:val="95"/>
  </w:num>
  <w:num w:numId="15" w16cid:durableId="1222252971">
    <w:abstractNumId w:val="41"/>
  </w:num>
  <w:num w:numId="16" w16cid:durableId="1880429248">
    <w:abstractNumId w:val="121"/>
  </w:num>
  <w:num w:numId="17" w16cid:durableId="2064789847">
    <w:abstractNumId w:val="2"/>
  </w:num>
  <w:num w:numId="18" w16cid:durableId="1674608018">
    <w:abstractNumId w:val="104"/>
  </w:num>
  <w:num w:numId="19" w16cid:durableId="1719551836">
    <w:abstractNumId w:val="115"/>
  </w:num>
  <w:num w:numId="20" w16cid:durableId="1244490335">
    <w:abstractNumId w:val="7"/>
  </w:num>
  <w:num w:numId="21" w16cid:durableId="177737794">
    <w:abstractNumId w:val="71"/>
  </w:num>
  <w:num w:numId="22" w16cid:durableId="917902633">
    <w:abstractNumId w:val="37"/>
  </w:num>
  <w:num w:numId="23" w16cid:durableId="373698778">
    <w:abstractNumId w:val="61"/>
  </w:num>
  <w:num w:numId="24" w16cid:durableId="1589269503">
    <w:abstractNumId w:val="48"/>
  </w:num>
  <w:num w:numId="25" w16cid:durableId="429205834">
    <w:abstractNumId w:val="17"/>
  </w:num>
  <w:num w:numId="26" w16cid:durableId="762335405">
    <w:abstractNumId w:val="12"/>
  </w:num>
  <w:num w:numId="27" w16cid:durableId="1625384825">
    <w:abstractNumId w:val="101"/>
  </w:num>
  <w:num w:numId="28" w16cid:durableId="1697072466">
    <w:abstractNumId w:val="69"/>
  </w:num>
  <w:num w:numId="29" w16cid:durableId="630015363">
    <w:abstractNumId w:val="73"/>
  </w:num>
  <w:num w:numId="30" w16cid:durableId="1777211645">
    <w:abstractNumId w:val="84"/>
  </w:num>
  <w:num w:numId="31" w16cid:durableId="1223832647">
    <w:abstractNumId w:val="128"/>
  </w:num>
  <w:num w:numId="32" w16cid:durableId="1128670099">
    <w:abstractNumId w:val="158"/>
  </w:num>
  <w:num w:numId="33" w16cid:durableId="1417821402">
    <w:abstractNumId w:val="65"/>
  </w:num>
  <w:num w:numId="34" w16cid:durableId="1393113635">
    <w:abstractNumId w:val="134"/>
  </w:num>
  <w:num w:numId="35" w16cid:durableId="919750748">
    <w:abstractNumId w:val="96"/>
  </w:num>
  <w:num w:numId="36" w16cid:durableId="430861448">
    <w:abstractNumId w:val="179"/>
  </w:num>
  <w:num w:numId="37" w16cid:durableId="1799226588">
    <w:abstractNumId w:val="179"/>
  </w:num>
  <w:num w:numId="38" w16cid:durableId="1329752621">
    <w:abstractNumId w:val="117"/>
  </w:num>
  <w:num w:numId="39" w16cid:durableId="621425610">
    <w:abstractNumId w:val="108"/>
  </w:num>
  <w:num w:numId="40" w16cid:durableId="2028360859">
    <w:abstractNumId w:val="193"/>
  </w:num>
  <w:num w:numId="41" w16cid:durableId="1736853224">
    <w:abstractNumId w:val="109"/>
  </w:num>
  <w:num w:numId="42" w16cid:durableId="78332183">
    <w:abstractNumId w:val="78"/>
  </w:num>
  <w:num w:numId="43" w16cid:durableId="1423837091">
    <w:abstractNumId w:val="0"/>
  </w:num>
  <w:num w:numId="44" w16cid:durableId="1430586683">
    <w:abstractNumId w:val="23"/>
  </w:num>
  <w:num w:numId="45" w16cid:durableId="1422872476">
    <w:abstractNumId w:val="35"/>
  </w:num>
  <w:num w:numId="46" w16cid:durableId="1355183361">
    <w:abstractNumId w:val="47"/>
  </w:num>
  <w:num w:numId="47" w16cid:durableId="669597700">
    <w:abstractNumId w:val="114"/>
  </w:num>
  <w:num w:numId="48" w16cid:durableId="446312732">
    <w:abstractNumId w:val="145"/>
  </w:num>
  <w:num w:numId="49" w16cid:durableId="39791684">
    <w:abstractNumId w:val="111"/>
  </w:num>
  <w:num w:numId="50" w16cid:durableId="117527703">
    <w:abstractNumId w:val="143"/>
  </w:num>
  <w:num w:numId="51" w16cid:durableId="1617131525">
    <w:abstractNumId w:val="124"/>
  </w:num>
  <w:num w:numId="52" w16cid:durableId="372117226">
    <w:abstractNumId w:val="63"/>
  </w:num>
  <w:num w:numId="53" w16cid:durableId="1680042876">
    <w:abstractNumId w:val="19"/>
  </w:num>
  <w:num w:numId="54" w16cid:durableId="723678726">
    <w:abstractNumId w:val="75"/>
  </w:num>
  <w:num w:numId="55" w16cid:durableId="591357925">
    <w:abstractNumId w:val="6"/>
  </w:num>
  <w:num w:numId="56" w16cid:durableId="1969430323">
    <w:abstractNumId w:val="163"/>
  </w:num>
  <w:num w:numId="57" w16cid:durableId="1489974231">
    <w:abstractNumId w:val="32"/>
  </w:num>
  <w:num w:numId="58" w16cid:durableId="1856379896">
    <w:abstractNumId w:val="180"/>
  </w:num>
  <w:num w:numId="59" w16cid:durableId="578757115">
    <w:abstractNumId w:val="178"/>
  </w:num>
  <w:num w:numId="60" w16cid:durableId="1311862238">
    <w:abstractNumId w:val="93"/>
  </w:num>
  <w:num w:numId="61" w16cid:durableId="722682007">
    <w:abstractNumId w:val="22"/>
  </w:num>
  <w:num w:numId="62" w16cid:durableId="333072725">
    <w:abstractNumId w:val="1"/>
  </w:num>
  <w:num w:numId="63" w16cid:durableId="1734543552">
    <w:abstractNumId w:val="164"/>
  </w:num>
  <w:num w:numId="64" w16cid:durableId="1591967561">
    <w:abstractNumId w:val="189"/>
  </w:num>
  <w:num w:numId="65" w16cid:durableId="870924365">
    <w:abstractNumId w:val="132"/>
  </w:num>
  <w:num w:numId="66" w16cid:durableId="111874184">
    <w:abstractNumId w:val="81"/>
  </w:num>
  <w:num w:numId="67" w16cid:durableId="522091915">
    <w:abstractNumId w:val="118"/>
  </w:num>
  <w:num w:numId="68" w16cid:durableId="182285874">
    <w:abstractNumId w:val="89"/>
  </w:num>
  <w:num w:numId="69" w16cid:durableId="807434139">
    <w:abstractNumId w:val="44"/>
  </w:num>
  <w:num w:numId="70" w16cid:durableId="170728802">
    <w:abstractNumId w:val="34"/>
  </w:num>
  <w:num w:numId="71" w16cid:durableId="2108965614">
    <w:abstractNumId w:val="11"/>
  </w:num>
  <w:num w:numId="72" w16cid:durableId="1723167673">
    <w:abstractNumId w:val="107"/>
  </w:num>
  <w:num w:numId="73" w16cid:durableId="1451439752">
    <w:abstractNumId w:val="187"/>
  </w:num>
  <w:num w:numId="74" w16cid:durableId="1810198895">
    <w:abstractNumId w:val="100"/>
  </w:num>
  <w:num w:numId="75" w16cid:durableId="237327885">
    <w:abstractNumId w:val="53"/>
  </w:num>
  <w:num w:numId="76" w16cid:durableId="1974362302">
    <w:abstractNumId w:val="14"/>
  </w:num>
  <w:num w:numId="77" w16cid:durableId="626159937">
    <w:abstractNumId w:val="186"/>
  </w:num>
  <w:num w:numId="78" w16cid:durableId="688457283">
    <w:abstractNumId w:val="51"/>
  </w:num>
  <w:num w:numId="79" w16cid:durableId="1201741568">
    <w:abstractNumId w:val="191"/>
  </w:num>
  <w:num w:numId="80" w16cid:durableId="494148245">
    <w:abstractNumId w:val="161"/>
  </w:num>
  <w:num w:numId="81" w16cid:durableId="1313753577">
    <w:abstractNumId w:val="181"/>
  </w:num>
  <w:num w:numId="82" w16cid:durableId="1121344989">
    <w:abstractNumId w:val="112"/>
  </w:num>
  <w:num w:numId="83" w16cid:durableId="802118184">
    <w:abstractNumId w:val="122"/>
  </w:num>
  <w:num w:numId="84" w16cid:durableId="1131678313">
    <w:abstractNumId w:val="54"/>
  </w:num>
  <w:num w:numId="85" w16cid:durableId="1108696075">
    <w:abstractNumId w:val="26"/>
  </w:num>
  <w:num w:numId="86" w16cid:durableId="9455054">
    <w:abstractNumId w:val="190"/>
  </w:num>
  <w:num w:numId="87" w16cid:durableId="356853684">
    <w:abstractNumId w:val="80"/>
  </w:num>
  <w:num w:numId="88" w16cid:durableId="1217668188">
    <w:abstractNumId w:val="188"/>
  </w:num>
  <w:num w:numId="89" w16cid:durableId="1789351534">
    <w:abstractNumId w:val="68"/>
  </w:num>
  <w:num w:numId="90" w16cid:durableId="1320891096">
    <w:abstractNumId w:val="83"/>
  </w:num>
  <w:num w:numId="91" w16cid:durableId="579101245">
    <w:abstractNumId w:val="8"/>
  </w:num>
  <w:num w:numId="92" w16cid:durableId="1695770221">
    <w:abstractNumId w:val="136"/>
  </w:num>
  <w:num w:numId="93" w16cid:durableId="1362972334">
    <w:abstractNumId w:val="184"/>
  </w:num>
  <w:num w:numId="94" w16cid:durableId="1022705081">
    <w:abstractNumId w:val="98"/>
  </w:num>
  <w:num w:numId="95" w16cid:durableId="741105092">
    <w:abstractNumId w:val="72"/>
  </w:num>
  <w:num w:numId="96" w16cid:durableId="520976713">
    <w:abstractNumId w:val="9"/>
  </w:num>
  <w:num w:numId="97" w16cid:durableId="257521930">
    <w:abstractNumId w:val="147"/>
  </w:num>
  <w:num w:numId="98" w16cid:durableId="817650128">
    <w:abstractNumId w:val="67"/>
  </w:num>
  <w:num w:numId="99" w16cid:durableId="1883443383">
    <w:abstractNumId w:val="125"/>
  </w:num>
  <w:num w:numId="100" w16cid:durableId="97869024">
    <w:abstractNumId w:val="105"/>
  </w:num>
  <w:num w:numId="101" w16cid:durableId="941887257">
    <w:abstractNumId w:val="42"/>
  </w:num>
  <w:num w:numId="102" w16cid:durableId="1369717824">
    <w:abstractNumId w:val="97"/>
  </w:num>
  <w:num w:numId="103" w16cid:durableId="1761489807">
    <w:abstractNumId w:val="91"/>
  </w:num>
  <w:num w:numId="104" w16cid:durableId="32193475">
    <w:abstractNumId w:val="62"/>
  </w:num>
  <w:num w:numId="105" w16cid:durableId="1227227410">
    <w:abstractNumId w:val="39"/>
  </w:num>
  <w:num w:numId="106" w16cid:durableId="359546513">
    <w:abstractNumId w:val="82"/>
  </w:num>
  <w:num w:numId="107" w16cid:durableId="1873961157">
    <w:abstractNumId w:val="85"/>
  </w:num>
  <w:num w:numId="108" w16cid:durableId="1526210028">
    <w:abstractNumId w:val="3"/>
  </w:num>
  <w:num w:numId="109" w16cid:durableId="1547059832">
    <w:abstractNumId w:val="52"/>
  </w:num>
  <w:num w:numId="110" w16cid:durableId="73867529">
    <w:abstractNumId w:val="175"/>
  </w:num>
  <w:num w:numId="111" w16cid:durableId="1587835312">
    <w:abstractNumId w:val="92"/>
  </w:num>
  <w:num w:numId="112" w16cid:durableId="868564485">
    <w:abstractNumId w:val="102"/>
  </w:num>
  <w:num w:numId="113" w16cid:durableId="2097749028">
    <w:abstractNumId w:val="46"/>
  </w:num>
  <w:num w:numId="114" w16cid:durableId="479662491">
    <w:abstractNumId w:val="87"/>
  </w:num>
  <w:num w:numId="115" w16cid:durableId="1132282759">
    <w:abstractNumId w:val="162"/>
  </w:num>
  <w:num w:numId="116" w16cid:durableId="2002855020">
    <w:abstractNumId w:val="149"/>
  </w:num>
  <w:num w:numId="117" w16cid:durableId="154690537">
    <w:abstractNumId w:val="120"/>
  </w:num>
  <w:num w:numId="118" w16cid:durableId="1635452209">
    <w:abstractNumId w:val="33"/>
  </w:num>
  <w:num w:numId="119" w16cid:durableId="1811484636">
    <w:abstractNumId w:val="174"/>
  </w:num>
  <w:num w:numId="120" w16cid:durableId="1253706851">
    <w:abstractNumId w:val="10"/>
  </w:num>
  <w:num w:numId="121" w16cid:durableId="499194595">
    <w:abstractNumId w:val="135"/>
  </w:num>
  <w:num w:numId="122" w16cid:durableId="1517310086">
    <w:abstractNumId w:val="169"/>
  </w:num>
  <w:num w:numId="123" w16cid:durableId="2025865729">
    <w:abstractNumId w:val="153"/>
  </w:num>
  <w:num w:numId="124" w16cid:durableId="821853844">
    <w:abstractNumId w:val="138"/>
  </w:num>
  <w:num w:numId="125" w16cid:durableId="1730881444">
    <w:abstractNumId w:val="58"/>
  </w:num>
  <w:num w:numId="126" w16cid:durableId="2036927002">
    <w:abstractNumId w:val="159"/>
  </w:num>
  <w:num w:numId="127" w16cid:durableId="760679643">
    <w:abstractNumId w:val="152"/>
  </w:num>
  <w:num w:numId="128" w16cid:durableId="2066758264">
    <w:abstractNumId w:val="126"/>
  </w:num>
  <w:num w:numId="129" w16cid:durableId="730612788">
    <w:abstractNumId w:val="64"/>
  </w:num>
  <w:num w:numId="130" w16cid:durableId="1521627483">
    <w:abstractNumId w:val="13"/>
  </w:num>
  <w:num w:numId="131" w16cid:durableId="1718891303">
    <w:abstractNumId w:val="172"/>
  </w:num>
  <w:num w:numId="132" w16cid:durableId="951866453">
    <w:abstractNumId w:val="28"/>
  </w:num>
  <w:num w:numId="133" w16cid:durableId="359823391">
    <w:abstractNumId w:val="36"/>
  </w:num>
  <w:num w:numId="134" w16cid:durableId="1828476627">
    <w:abstractNumId w:val="113"/>
  </w:num>
  <w:num w:numId="135" w16cid:durableId="1494640921">
    <w:abstractNumId w:val="55"/>
  </w:num>
  <w:num w:numId="136" w16cid:durableId="412704505">
    <w:abstractNumId w:val="20"/>
  </w:num>
  <w:num w:numId="137" w16cid:durableId="1305506513">
    <w:abstractNumId w:val="173"/>
  </w:num>
  <w:num w:numId="138" w16cid:durableId="1533038079">
    <w:abstractNumId w:val="142"/>
  </w:num>
  <w:num w:numId="139" w16cid:durableId="646520466">
    <w:abstractNumId w:val="123"/>
  </w:num>
  <w:num w:numId="140" w16cid:durableId="524294254">
    <w:abstractNumId w:val="90"/>
  </w:num>
  <w:num w:numId="141" w16cid:durableId="1185359122">
    <w:abstractNumId w:val="182"/>
  </w:num>
  <w:num w:numId="142" w16cid:durableId="1022970884">
    <w:abstractNumId w:val="79"/>
  </w:num>
  <w:num w:numId="143" w16cid:durableId="379478345">
    <w:abstractNumId w:val="29"/>
  </w:num>
  <w:num w:numId="144" w16cid:durableId="422645847">
    <w:abstractNumId w:val="15"/>
  </w:num>
  <w:num w:numId="145" w16cid:durableId="1147210618">
    <w:abstractNumId w:val="131"/>
  </w:num>
  <w:num w:numId="146" w16cid:durableId="155414469">
    <w:abstractNumId w:val="45"/>
  </w:num>
  <w:num w:numId="147" w16cid:durableId="20322816">
    <w:abstractNumId w:val="88"/>
  </w:num>
  <w:num w:numId="148" w16cid:durableId="1998193156">
    <w:abstractNumId w:val="165"/>
  </w:num>
  <w:num w:numId="149" w16cid:durableId="1014650803">
    <w:abstractNumId w:val="66"/>
  </w:num>
  <w:num w:numId="150" w16cid:durableId="1357540781">
    <w:abstractNumId w:val="130"/>
  </w:num>
  <w:num w:numId="151" w16cid:durableId="1343043844">
    <w:abstractNumId w:val="50"/>
  </w:num>
  <w:num w:numId="152" w16cid:durableId="407769515">
    <w:abstractNumId w:val="57"/>
  </w:num>
  <w:num w:numId="153" w16cid:durableId="1919361867">
    <w:abstractNumId w:val="140"/>
  </w:num>
  <w:num w:numId="154" w16cid:durableId="1167476025">
    <w:abstractNumId w:val="94"/>
  </w:num>
  <w:num w:numId="155" w16cid:durableId="1356926461">
    <w:abstractNumId w:val="129"/>
  </w:num>
  <w:num w:numId="156" w16cid:durableId="1365129498">
    <w:abstractNumId w:val="60"/>
  </w:num>
  <w:num w:numId="157" w16cid:durableId="961809086">
    <w:abstractNumId w:val="192"/>
  </w:num>
  <w:num w:numId="158" w16cid:durableId="381251438">
    <w:abstractNumId w:val="25"/>
  </w:num>
  <w:num w:numId="159" w16cid:durableId="181935915">
    <w:abstractNumId w:val="116"/>
  </w:num>
  <w:num w:numId="160" w16cid:durableId="83383319">
    <w:abstractNumId w:val="150"/>
  </w:num>
  <w:num w:numId="161" w16cid:durableId="133839046">
    <w:abstractNumId w:val="160"/>
  </w:num>
  <w:num w:numId="162" w16cid:durableId="828251718">
    <w:abstractNumId w:val="137"/>
  </w:num>
  <w:num w:numId="163" w16cid:durableId="359204852">
    <w:abstractNumId w:val="30"/>
  </w:num>
  <w:num w:numId="164" w16cid:durableId="1695957234">
    <w:abstractNumId w:val="133"/>
  </w:num>
  <w:num w:numId="165" w16cid:durableId="544408267">
    <w:abstractNumId w:val="70"/>
  </w:num>
  <w:num w:numId="166" w16cid:durableId="1384596234">
    <w:abstractNumId w:val="144"/>
  </w:num>
  <w:num w:numId="167" w16cid:durableId="1119299877">
    <w:abstractNumId w:val="176"/>
  </w:num>
  <w:num w:numId="168" w16cid:durableId="1541014167">
    <w:abstractNumId w:val="171"/>
  </w:num>
  <w:num w:numId="169" w16cid:durableId="1905870589">
    <w:abstractNumId w:val="141"/>
  </w:num>
  <w:num w:numId="170" w16cid:durableId="2043819452">
    <w:abstractNumId w:val="106"/>
  </w:num>
  <w:num w:numId="171" w16cid:durableId="1608192055">
    <w:abstractNumId w:val="110"/>
  </w:num>
  <w:num w:numId="172" w16cid:durableId="838496377">
    <w:abstractNumId w:val="31"/>
  </w:num>
  <w:num w:numId="173" w16cid:durableId="1516652423">
    <w:abstractNumId w:val="4"/>
  </w:num>
  <w:num w:numId="174" w16cid:durableId="1050882742">
    <w:abstractNumId w:val="38"/>
  </w:num>
  <w:num w:numId="175" w16cid:durableId="693268919">
    <w:abstractNumId w:val="40"/>
  </w:num>
  <w:num w:numId="176" w16cid:durableId="179200071">
    <w:abstractNumId w:val="139"/>
  </w:num>
  <w:num w:numId="177" w16cid:durableId="1571232684">
    <w:abstractNumId w:val="74"/>
  </w:num>
  <w:num w:numId="178" w16cid:durableId="244384178">
    <w:abstractNumId w:val="166"/>
  </w:num>
  <w:num w:numId="179" w16cid:durableId="1041134126">
    <w:abstractNumId w:val="86"/>
  </w:num>
  <w:num w:numId="180" w16cid:durableId="985087002">
    <w:abstractNumId w:val="5"/>
  </w:num>
  <w:num w:numId="181" w16cid:durableId="1039479390">
    <w:abstractNumId w:val="18"/>
  </w:num>
  <w:num w:numId="182" w16cid:durableId="1796827822">
    <w:abstractNumId w:val="27"/>
  </w:num>
  <w:num w:numId="183" w16cid:durableId="1688826096">
    <w:abstractNumId w:val="24"/>
  </w:num>
  <w:num w:numId="184" w16cid:durableId="624655340">
    <w:abstractNumId w:val="21"/>
  </w:num>
  <w:num w:numId="185" w16cid:durableId="455679151">
    <w:abstractNumId w:val="59"/>
  </w:num>
  <w:num w:numId="186" w16cid:durableId="107480214">
    <w:abstractNumId w:val="43"/>
  </w:num>
  <w:num w:numId="187" w16cid:durableId="1110583639">
    <w:abstractNumId w:val="156"/>
  </w:num>
  <w:num w:numId="188" w16cid:durableId="28532511">
    <w:abstractNumId w:val="119"/>
  </w:num>
  <w:num w:numId="189" w16cid:durableId="1517964426">
    <w:abstractNumId w:val="154"/>
  </w:num>
  <w:num w:numId="190" w16cid:durableId="1140725751">
    <w:abstractNumId w:val="99"/>
  </w:num>
  <w:num w:numId="191" w16cid:durableId="185410803">
    <w:abstractNumId w:val="168"/>
  </w:num>
  <w:num w:numId="192" w16cid:durableId="400177127">
    <w:abstractNumId w:val="103"/>
  </w:num>
  <w:num w:numId="193" w16cid:durableId="1494906602">
    <w:abstractNumId w:val="170"/>
  </w:num>
  <w:num w:numId="194" w16cid:durableId="1685936025">
    <w:abstractNumId w:val="77"/>
  </w:num>
  <w:num w:numId="195" w16cid:durableId="490029521">
    <w:abstractNumId w:val="15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5718F"/>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B07A9"/>
    <w:rsid w:val="002B6370"/>
    <w:rsid w:val="002C0F67"/>
    <w:rsid w:val="002C2741"/>
    <w:rsid w:val="002C3C12"/>
    <w:rsid w:val="002C5BD5"/>
    <w:rsid w:val="002D5633"/>
    <w:rsid w:val="002D6100"/>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8CB"/>
    <w:rsid w:val="0076139F"/>
    <w:rsid w:val="00762962"/>
    <w:rsid w:val="00762BE1"/>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69CE"/>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B77"/>
    <w:rsid w:val="00B22E8C"/>
    <w:rsid w:val="00B24A3F"/>
    <w:rsid w:val="00B258D7"/>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1E05"/>
    <w:rsid w:val="00C4412F"/>
    <w:rsid w:val="00C53637"/>
    <w:rsid w:val="00C56162"/>
    <w:rsid w:val="00C57AB4"/>
    <w:rsid w:val="00C65BD9"/>
    <w:rsid w:val="00C748D0"/>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67F1"/>
    <w:rsid w:val="00E30029"/>
    <w:rsid w:val="00E31258"/>
    <w:rsid w:val="00E31DD2"/>
    <w:rsid w:val="00E32CD5"/>
    <w:rsid w:val="00E3736E"/>
    <w:rsid w:val="00E41E6F"/>
    <w:rsid w:val="00E46885"/>
    <w:rsid w:val="00E54775"/>
    <w:rsid w:val="00E565FB"/>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2696"/>
    <w:rsid w:val="00F003B2"/>
    <w:rsid w:val="00F005D0"/>
    <w:rsid w:val="00F00976"/>
    <w:rsid w:val="00F0162C"/>
    <w:rsid w:val="00F108FA"/>
    <w:rsid w:val="00F11D0B"/>
    <w:rsid w:val="00F12170"/>
    <w:rsid w:val="00F1236E"/>
    <w:rsid w:val="00F16522"/>
    <w:rsid w:val="00F24494"/>
    <w:rsid w:val="00F31672"/>
    <w:rsid w:val="00F414B1"/>
    <w:rsid w:val="00F41E14"/>
    <w:rsid w:val="00F44C39"/>
    <w:rsid w:val="00F44C59"/>
    <w:rsid w:val="00F53ADD"/>
    <w:rsid w:val="00F57748"/>
    <w:rsid w:val="00F61294"/>
    <w:rsid w:val="00F61518"/>
    <w:rsid w:val="00F615DD"/>
    <w:rsid w:val="00F61772"/>
    <w:rsid w:val="00F6686B"/>
    <w:rsid w:val="00F70BEE"/>
    <w:rsid w:val="00F75425"/>
    <w:rsid w:val="00F8051D"/>
    <w:rsid w:val="00F80F5D"/>
    <w:rsid w:val="00FA1245"/>
    <w:rsid w:val="00FA231F"/>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6141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3</cp:revision>
  <dcterms:created xsi:type="dcterms:W3CDTF">2025-08-02T07:09:00Z</dcterms:created>
  <dcterms:modified xsi:type="dcterms:W3CDTF">2025-08-02T07:10:00Z</dcterms:modified>
  <cp:category/>
</cp:coreProperties>
</file>