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3B25" w14:textId="77777777" w:rsidR="00560027" w:rsidRDefault="00560027" w:rsidP="00560027">
      <w:pPr>
        <w:pStyle w:val="PNLSubhead"/>
        <w:outlineLvl w:val="0"/>
      </w:pPr>
      <w:r>
        <w:t>Schnell-Check: So machen Sie als Betriebsrat alles richtig</w:t>
      </w:r>
    </w:p>
    <w:tbl>
      <w:tblPr>
        <w:tblStyle w:val="Tabellenraster"/>
        <w:tblW w:w="0" w:type="auto"/>
        <w:tblLook w:val="04A0" w:firstRow="1" w:lastRow="0" w:firstColumn="1" w:lastColumn="0" w:noHBand="0" w:noVBand="1"/>
      </w:tblPr>
      <w:tblGrid>
        <w:gridCol w:w="6379"/>
        <w:gridCol w:w="1270"/>
        <w:gridCol w:w="1270"/>
      </w:tblGrid>
      <w:tr w:rsidR="00560027" w:rsidRPr="002B57B3" w14:paraId="4B897C6A" w14:textId="77777777" w:rsidTr="00FC3B43">
        <w:tc>
          <w:tcPr>
            <w:tcW w:w="6379" w:type="dxa"/>
          </w:tcPr>
          <w:p w14:paraId="1350A933" w14:textId="77777777" w:rsidR="00560027" w:rsidRPr="00EE6AD7" w:rsidRDefault="00560027" w:rsidP="00FC3B43">
            <w:pPr>
              <w:jc w:val="both"/>
              <w:rPr>
                <w:rFonts w:ascii="Times New Roman" w:eastAsia="Times New Roman" w:hAnsi="Times New Roman" w:cs="Times New Roman"/>
                <w:b/>
                <w:lang w:eastAsia="de-DE"/>
              </w:rPr>
            </w:pPr>
          </w:p>
        </w:tc>
        <w:tc>
          <w:tcPr>
            <w:tcW w:w="1270" w:type="dxa"/>
          </w:tcPr>
          <w:p w14:paraId="1877CA31" w14:textId="77777777" w:rsidR="00560027" w:rsidRPr="00EE6AD7" w:rsidRDefault="00560027" w:rsidP="00FC3B43">
            <w:pPr>
              <w:jc w:val="center"/>
              <w:rPr>
                <w:rFonts w:ascii="Times New Roman" w:hAnsi="Times New Roman" w:cs="Times New Roman"/>
              </w:rPr>
            </w:pPr>
            <w:r w:rsidRPr="00EE6AD7">
              <w:rPr>
                <w:rFonts w:ascii="Times New Roman" w:hAnsi="Times New Roman" w:cs="Times New Roman"/>
              </w:rPr>
              <w:t>Ja</w:t>
            </w:r>
          </w:p>
        </w:tc>
        <w:tc>
          <w:tcPr>
            <w:tcW w:w="1270" w:type="dxa"/>
          </w:tcPr>
          <w:p w14:paraId="46948A46" w14:textId="77777777" w:rsidR="00560027" w:rsidRPr="00EE6AD7" w:rsidRDefault="00560027" w:rsidP="00FC3B43">
            <w:pPr>
              <w:jc w:val="center"/>
              <w:rPr>
                <w:rFonts w:ascii="Times New Roman" w:hAnsi="Times New Roman" w:cs="Times New Roman"/>
              </w:rPr>
            </w:pPr>
            <w:r w:rsidRPr="00EE6AD7">
              <w:rPr>
                <w:rFonts w:ascii="Times New Roman" w:hAnsi="Times New Roman" w:cs="Times New Roman"/>
              </w:rPr>
              <w:t>Nein</w:t>
            </w:r>
          </w:p>
        </w:tc>
      </w:tr>
      <w:tr w:rsidR="00560027" w:rsidRPr="00F01881" w14:paraId="5E0AD278" w14:textId="77777777" w:rsidTr="00FC3B43">
        <w:tc>
          <w:tcPr>
            <w:tcW w:w="6379" w:type="dxa"/>
          </w:tcPr>
          <w:p w14:paraId="7476D84E"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Liegt ein ordnungsgemäßer Beschluss vor?</w:t>
            </w:r>
          </w:p>
          <w:p w14:paraId="0E551476"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Als Betriebsrat sind Sie verpflichtet, vor jeder Schulung einen ordnungsgemäßen Beschluss über die Entsendung zur Schulung zu fassen (§ 37 Absatz 6 BetrVG). </w:t>
            </w:r>
          </w:p>
          <w:p w14:paraId="70FEAA89" w14:textId="77777777" w:rsidR="00560027" w:rsidRPr="00EE6AD7" w:rsidRDefault="00560027" w:rsidP="00FC3B43">
            <w:pPr>
              <w:jc w:val="both"/>
              <w:rPr>
                <w:rFonts w:ascii="Times New Roman" w:eastAsia="Times New Roman" w:hAnsi="Times New Roman" w:cs="Times New Roman"/>
                <w:lang w:eastAsia="de-DE"/>
              </w:rPr>
            </w:pPr>
          </w:p>
          <w:p w14:paraId="74E14865"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Der ordnungsgemäße Beschluss ist zwingende Voraussetzung. Das heißt: Ohne formellen Beschluss muss Ihr Arbeitgeber </w:t>
            </w:r>
          </w:p>
          <w:p w14:paraId="01A349D9" w14:textId="77777777" w:rsidR="00560027" w:rsidRPr="00EE6AD7" w:rsidRDefault="00560027" w:rsidP="00560027">
            <w:pPr>
              <w:pStyle w:val="Listenabsatz"/>
              <w:numPr>
                <w:ilvl w:val="0"/>
                <w:numId w:val="67"/>
              </w:num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weder die betreffende Kollegin oder den betreffenden Kollegen aus dem Betriebsrat bezahlt freistellen, </w:t>
            </w:r>
          </w:p>
          <w:p w14:paraId="7054C6BF" w14:textId="77777777" w:rsidR="00560027" w:rsidRPr="00EE6AD7" w:rsidRDefault="00560027" w:rsidP="00560027">
            <w:pPr>
              <w:pStyle w:val="Listenabsatz"/>
              <w:numPr>
                <w:ilvl w:val="0"/>
                <w:numId w:val="67"/>
              </w:num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noch die weiteren Kosten der Schulungsmaßnahme zahlen. </w:t>
            </w:r>
          </w:p>
          <w:p w14:paraId="7F598113" w14:textId="77777777" w:rsidR="00560027" w:rsidRPr="00EE6AD7" w:rsidRDefault="00560027" w:rsidP="00FC3B43">
            <w:pPr>
              <w:jc w:val="both"/>
              <w:rPr>
                <w:rFonts w:ascii="Times New Roman" w:eastAsia="Times New Roman" w:hAnsi="Times New Roman" w:cs="Times New Roman"/>
                <w:lang w:eastAsia="de-DE"/>
              </w:rPr>
            </w:pPr>
          </w:p>
          <w:p w14:paraId="27B9ACAA"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b/>
                <w:lang w:eastAsia="de-DE"/>
              </w:rPr>
              <w:t>Mein Tipp als Betriebsratsanwalt:</w:t>
            </w:r>
            <w:r w:rsidRPr="00EE6AD7">
              <w:rPr>
                <w:rFonts w:ascii="Times New Roman" w:eastAsia="Times New Roman" w:hAnsi="Times New Roman" w:cs="Times New Roman"/>
                <w:lang w:eastAsia="de-DE"/>
              </w:rPr>
              <w:t xml:space="preserve"> Achten Sie vor allem darauf, dass mindestens die Hälfte Ihrer Betriebsratsmitglieder an der Beschlussfassung teilgenommen hat. Denn nur, wenn Beschlussfähigkeit vorliegt, ist der Beschluss ordnungsgemäß gefasst (§ 33 Absatz 2 BetrVG).</w:t>
            </w:r>
          </w:p>
        </w:tc>
        <w:tc>
          <w:tcPr>
            <w:tcW w:w="1270" w:type="dxa"/>
          </w:tcPr>
          <w:p w14:paraId="1921CBDA" w14:textId="77777777" w:rsidR="00560027" w:rsidRPr="00EE6AD7" w:rsidRDefault="00560027" w:rsidP="00FC3B43">
            <w:pPr>
              <w:jc w:val="both"/>
              <w:rPr>
                <w:rFonts w:ascii="Times New Roman" w:hAnsi="Times New Roman" w:cs="Times New Roman"/>
              </w:rPr>
            </w:pPr>
          </w:p>
        </w:tc>
        <w:tc>
          <w:tcPr>
            <w:tcW w:w="1270" w:type="dxa"/>
          </w:tcPr>
          <w:p w14:paraId="409638B8" w14:textId="77777777" w:rsidR="00560027" w:rsidRPr="00EE6AD7" w:rsidRDefault="00560027" w:rsidP="00FC3B43">
            <w:pPr>
              <w:jc w:val="both"/>
              <w:rPr>
                <w:rFonts w:ascii="Times New Roman" w:hAnsi="Times New Roman" w:cs="Times New Roman"/>
              </w:rPr>
            </w:pPr>
          </w:p>
        </w:tc>
      </w:tr>
      <w:tr w:rsidR="00560027" w:rsidRPr="00F01881" w14:paraId="7D36A5CC" w14:textId="77777777" w:rsidTr="00FC3B43">
        <w:tc>
          <w:tcPr>
            <w:tcW w:w="6379" w:type="dxa"/>
          </w:tcPr>
          <w:p w14:paraId="60392773"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Haben Sie den Beschluss rechtzeitig weitergeleitet?</w:t>
            </w:r>
          </w:p>
          <w:p w14:paraId="0BAB4929"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lang w:eastAsia="de-DE"/>
              </w:rPr>
              <w:t>Als Betriebsrat müssen Sie Ihren Arbeitgeber den Beschluss über den Seminarurlaub außerdem rechtzeitig vorlegen (§ 37 Absatz 6 BetrVG). Das heißt, dass Sie Ihren Arbeitgeber zwei bis drei Wochen vor Schulungsbeginn informieren müssen.</w:t>
            </w:r>
          </w:p>
        </w:tc>
        <w:tc>
          <w:tcPr>
            <w:tcW w:w="1270" w:type="dxa"/>
          </w:tcPr>
          <w:p w14:paraId="45227054" w14:textId="77777777" w:rsidR="00560027" w:rsidRPr="00EE6AD7" w:rsidRDefault="00560027" w:rsidP="00FC3B43">
            <w:pPr>
              <w:jc w:val="both"/>
              <w:rPr>
                <w:rFonts w:ascii="Times New Roman" w:hAnsi="Times New Roman" w:cs="Times New Roman"/>
              </w:rPr>
            </w:pPr>
          </w:p>
        </w:tc>
        <w:tc>
          <w:tcPr>
            <w:tcW w:w="1270" w:type="dxa"/>
          </w:tcPr>
          <w:p w14:paraId="553C1677" w14:textId="77777777" w:rsidR="00560027" w:rsidRPr="00EE6AD7" w:rsidRDefault="00560027" w:rsidP="00FC3B43">
            <w:pPr>
              <w:jc w:val="both"/>
              <w:rPr>
                <w:rFonts w:ascii="Times New Roman" w:hAnsi="Times New Roman" w:cs="Times New Roman"/>
              </w:rPr>
            </w:pPr>
          </w:p>
        </w:tc>
      </w:tr>
      <w:tr w:rsidR="00560027" w:rsidRPr="00F01881" w14:paraId="7CF0896B" w14:textId="77777777" w:rsidTr="00FC3B43">
        <w:tc>
          <w:tcPr>
            <w:tcW w:w="6379" w:type="dxa"/>
          </w:tcPr>
          <w:p w14:paraId="348389C2"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Besteht ein konkreter Bedarf an der Schulung?</w:t>
            </w:r>
          </w:p>
          <w:p w14:paraId="35489AB0"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Eine Schulung ist nur dann erforderlich, wenn der Schulungswunsch Ihres Betriebsratsmitglieds </w:t>
            </w:r>
          </w:p>
          <w:p w14:paraId="3D632928" w14:textId="77777777" w:rsidR="00560027" w:rsidRPr="00EE6AD7" w:rsidRDefault="00560027" w:rsidP="00560027">
            <w:pPr>
              <w:pStyle w:val="Listenabsatz"/>
              <w:numPr>
                <w:ilvl w:val="0"/>
                <w:numId w:val="66"/>
              </w:numPr>
              <w:contextualSpacing w:val="0"/>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eine konkrete, im Betrieb bereits bestehende oder</w:t>
            </w:r>
          </w:p>
          <w:p w14:paraId="202EA77E" w14:textId="77777777" w:rsidR="00560027" w:rsidRPr="00EE6AD7" w:rsidRDefault="00560027" w:rsidP="00560027">
            <w:pPr>
              <w:pStyle w:val="Listenabsatz"/>
              <w:numPr>
                <w:ilvl w:val="0"/>
                <w:numId w:val="66"/>
              </w:numPr>
              <w:contextualSpacing w:val="0"/>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eine in absehbarer Zeit eintretende Situation </w:t>
            </w:r>
          </w:p>
          <w:p w14:paraId="38DC5CF3"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betrifft (§ 37 Absatz 6 BetrVG).</w:t>
            </w:r>
          </w:p>
          <w:p w14:paraId="78E69763" w14:textId="77777777" w:rsidR="00560027" w:rsidRPr="00EE6AD7" w:rsidRDefault="00560027" w:rsidP="00FC3B43">
            <w:pPr>
              <w:jc w:val="both"/>
              <w:rPr>
                <w:rFonts w:ascii="Times New Roman" w:eastAsia="Times New Roman" w:hAnsi="Times New Roman" w:cs="Times New Roman"/>
                <w:lang w:eastAsia="de-DE"/>
              </w:rPr>
            </w:pPr>
          </w:p>
          <w:p w14:paraId="414AAB40"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Wichtiger Hinweis:</w:t>
            </w:r>
            <w:r w:rsidRPr="00EE6AD7">
              <w:rPr>
                <w:rFonts w:ascii="Times New Roman" w:eastAsia="Times New Roman" w:hAnsi="Times New Roman" w:cs="Times New Roman"/>
                <w:lang w:eastAsia="de-DE"/>
              </w:rPr>
              <w:t xml:space="preserve"> Die nur rein theoretische oder präventive Möglichkeit, dass eine Frage im Betriebsrat irgendwann auftauchen könnte und hierfür die erforderlichen Kenntnisse vorhanden sein müssen, genügt für die Teilnahme nicht.</w:t>
            </w:r>
          </w:p>
        </w:tc>
        <w:tc>
          <w:tcPr>
            <w:tcW w:w="1270" w:type="dxa"/>
          </w:tcPr>
          <w:p w14:paraId="68987A82" w14:textId="77777777" w:rsidR="00560027" w:rsidRPr="00EE6AD7" w:rsidRDefault="00560027" w:rsidP="00FC3B43">
            <w:pPr>
              <w:jc w:val="both"/>
              <w:rPr>
                <w:rFonts w:ascii="Times New Roman" w:hAnsi="Times New Roman" w:cs="Times New Roman"/>
              </w:rPr>
            </w:pPr>
          </w:p>
        </w:tc>
        <w:tc>
          <w:tcPr>
            <w:tcW w:w="1270" w:type="dxa"/>
          </w:tcPr>
          <w:p w14:paraId="3CA0B946" w14:textId="77777777" w:rsidR="00560027" w:rsidRPr="00EE6AD7" w:rsidRDefault="00560027" w:rsidP="00FC3B43">
            <w:pPr>
              <w:jc w:val="both"/>
              <w:rPr>
                <w:rFonts w:ascii="Times New Roman" w:hAnsi="Times New Roman" w:cs="Times New Roman"/>
              </w:rPr>
            </w:pPr>
          </w:p>
        </w:tc>
      </w:tr>
      <w:tr w:rsidR="00560027" w:rsidRPr="00F01881" w14:paraId="4BC88E70" w14:textId="77777777" w:rsidTr="00FC3B43">
        <w:tc>
          <w:tcPr>
            <w:tcW w:w="6379" w:type="dxa"/>
          </w:tcPr>
          <w:p w14:paraId="32D4C9A7"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Ist die Schulung erforderlich?</w:t>
            </w:r>
          </w:p>
          <w:p w14:paraId="2848E835"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lang w:eastAsia="de-DE"/>
              </w:rPr>
              <w:t>Prüfen Sie in jedem Einzelfall, ob die Schulung gerade für das konkrete Betriebsratsmitglied erforderlich ist.</w:t>
            </w:r>
          </w:p>
        </w:tc>
        <w:tc>
          <w:tcPr>
            <w:tcW w:w="1270" w:type="dxa"/>
          </w:tcPr>
          <w:p w14:paraId="1000F93F" w14:textId="77777777" w:rsidR="00560027" w:rsidRPr="00EE6AD7" w:rsidRDefault="00560027" w:rsidP="00FC3B43">
            <w:pPr>
              <w:jc w:val="both"/>
              <w:rPr>
                <w:rFonts w:ascii="Times New Roman" w:hAnsi="Times New Roman" w:cs="Times New Roman"/>
              </w:rPr>
            </w:pPr>
          </w:p>
        </w:tc>
        <w:tc>
          <w:tcPr>
            <w:tcW w:w="1270" w:type="dxa"/>
          </w:tcPr>
          <w:p w14:paraId="10669E03" w14:textId="77777777" w:rsidR="00560027" w:rsidRPr="00EE6AD7" w:rsidRDefault="00560027" w:rsidP="00FC3B43">
            <w:pPr>
              <w:jc w:val="both"/>
              <w:rPr>
                <w:rFonts w:ascii="Times New Roman" w:hAnsi="Times New Roman" w:cs="Times New Roman"/>
              </w:rPr>
            </w:pPr>
          </w:p>
        </w:tc>
      </w:tr>
      <w:tr w:rsidR="00560027" w:rsidRPr="00F01881" w14:paraId="4ACC5761" w14:textId="77777777" w:rsidTr="00FC3B43">
        <w:tc>
          <w:tcPr>
            <w:tcW w:w="6379" w:type="dxa"/>
          </w:tcPr>
          <w:p w14:paraId="680D451D"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b/>
                <w:lang w:eastAsia="de-DE"/>
              </w:rPr>
              <w:t>Haben Sie die Kosten im Blick behalten?</w:t>
            </w:r>
          </w:p>
          <w:p w14:paraId="60214EFD" w14:textId="77777777" w:rsidR="00560027" w:rsidRPr="00EE6AD7" w:rsidRDefault="00560027" w:rsidP="00FC3B43">
            <w:pPr>
              <w:jc w:val="both"/>
              <w:rPr>
                <w:rFonts w:ascii="Times New Roman" w:eastAsia="Times New Roman" w:hAnsi="Times New Roman" w:cs="Times New Roman"/>
                <w:lang w:eastAsia="de-DE"/>
              </w:rPr>
            </w:pPr>
            <w:r w:rsidRPr="00EE6AD7">
              <w:rPr>
                <w:rFonts w:ascii="Times New Roman" w:eastAsia="Times New Roman" w:hAnsi="Times New Roman" w:cs="Times New Roman"/>
                <w:lang w:eastAsia="de-DE"/>
              </w:rPr>
              <w:t xml:space="preserve">Wenn es um die Teilnahme an einer Betriebsratsschulung geht, sollten Sie Kostenbewusstsein zeigen (nach § 37 Absatz 6 BetrVG). </w:t>
            </w:r>
          </w:p>
          <w:p w14:paraId="78E01780" w14:textId="77777777" w:rsidR="00560027" w:rsidRPr="00EE6AD7" w:rsidRDefault="00560027" w:rsidP="00FC3B43">
            <w:pPr>
              <w:jc w:val="both"/>
              <w:rPr>
                <w:rFonts w:ascii="Times New Roman" w:eastAsia="Times New Roman" w:hAnsi="Times New Roman" w:cs="Times New Roman"/>
                <w:lang w:eastAsia="de-DE"/>
              </w:rPr>
            </w:pPr>
          </w:p>
          <w:p w14:paraId="47F2704D" w14:textId="77777777" w:rsidR="00560027" w:rsidRPr="00EE6AD7" w:rsidRDefault="00560027" w:rsidP="00FC3B43">
            <w:pPr>
              <w:jc w:val="both"/>
              <w:rPr>
                <w:rFonts w:ascii="Times New Roman" w:eastAsia="Times New Roman" w:hAnsi="Times New Roman" w:cs="Times New Roman"/>
                <w:b/>
                <w:lang w:eastAsia="de-DE"/>
              </w:rPr>
            </w:pPr>
            <w:r w:rsidRPr="00EE6AD7">
              <w:rPr>
                <w:rFonts w:ascii="Times New Roman" w:eastAsia="Times New Roman" w:hAnsi="Times New Roman" w:cs="Times New Roman"/>
                <w:lang w:eastAsia="de-DE"/>
              </w:rPr>
              <w:t xml:space="preserve">Ist die Schulung </w:t>
            </w:r>
            <w:proofErr w:type="gramStart"/>
            <w:r w:rsidRPr="00EE6AD7">
              <w:rPr>
                <w:rFonts w:ascii="Times New Roman" w:eastAsia="Times New Roman" w:hAnsi="Times New Roman" w:cs="Times New Roman"/>
                <w:lang w:eastAsia="de-DE"/>
              </w:rPr>
              <w:t>wirklich erforderlich</w:t>
            </w:r>
            <w:proofErr w:type="gramEnd"/>
            <w:r w:rsidRPr="00EE6AD7">
              <w:rPr>
                <w:rFonts w:ascii="Times New Roman" w:eastAsia="Times New Roman" w:hAnsi="Times New Roman" w:cs="Times New Roman"/>
                <w:lang w:eastAsia="de-DE"/>
              </w:rPr>
              <w:t xml:space="preserve"> und wurden alle Formalitäten eingehalten, heißt das nicht automatisch, dass Ihr Arbeitgeber für alle Kosten aufkommen muss. Die Kosten der Schulungsmaßnahme müssen verhältnismäßig und wirtschaftlich vertretbar sein.</w:t>
            </w:r>
          </w:p>
        </w:tc>
        <w:tc>
          <w:tcPr>
            <w:tcW w:w="1270" w:type="dxa"/>
          </w:tcPr>
          <w:p w14:paraId="3ACB1BE8" w14:textId="77777777" w:rsidR="00560027" w:rsidRPr="00EE6AD7" w:rsidRDefault="00560027" w:rsidP="00FC3B43">
            <w:pPr>
              <w:jc w:val="both"/>
              <w:rPr>
                <w:rFonts w:ascii="Times New Roman" w:hAnsi="Times New Roman" w:cs="Times New Roman"/>
              </w:rPr>
            </w:pPr>
          </w:p>
        </w:tc>
        <w:tc>
          <w:tcPr>
            <w:tcW w:w="1270" w:type="dxa"/>
          </w:tcPr>
          <w:p w14:paraId="1CFA5645" w14:textId="77777777" w:rsidR="00560027" w:rsidRPr="00EE6AD7" w:rsidRDefault="00560027" w:rsidP="00FC3B43">
            <w:pPr>
              <w:jc w:val="both"/>
              <w:rPr>
                <w:rFonts w:ascii="Times New Roman" w:hAnsi="Times New Roman" w:cs="Times New Roman"/>
              </w:rPr>
            </w:pPr>
          </w:p>
        </w:tc>
      </w:tr>
    </w:tbl>
    <w:p w14:paraId="1C40F490" w14:textId="77777777" w:rsidR="00560027" w:rsidRPr="00F01881" w:rsidRDefault="00560027" w:rsidP="00560027">
      <w:pPr>
        <w:jc w:val="both"/>
        <w:rPr>
          <w:shd w:val="clear" w:color="auto" w:fill="C0C0C0"/>
        </w:rPr>
      </w:pPr>
    </w:p>
    <w:p w14:paraId="02F3075E" w14:textId="77777777" w:rsidR="00560027" w:rsidRPr="00EE6AD7" w:rsidRDefault="00560027" w:rsidP="00560027">
      <w:pPr>
        <w:jc w:val="both"/>
        <w:rPr>
          <w:shd w:val="clear" w:color="auto" w:fill="C0C0C0"/>
        </w:rPr>
      </w:pPr>
      <w:r w:rsidRPr="00EE6AD7">
        <w:lastRenderedPageBreak/>
        <w:t>Nur wenn Sie als Betriebsrat</w:t>
      </w:r>
      <w:r>
        <w:t xml:space="preserve"> alle diese Fragen mit „Ja“ beantwortet haben, muss Ihr Arbeitgeber die Lohnfortzahlung und Kosten der Schulungsmaßnahme übernehmen.</w:t>
      </w: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C0BA01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60027">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8367C1">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9408" w14:textId="77777777" w:rsidR="008367C1" w:rsidRDefault="008367C1" w:rsidP="00BF7674">
      <w:r>
        <w:separator/>
      </w:r>
    </w:p>
  </w:endnote>
  <w:endnote w:type="continuationSeparator" w:id="0">
    <w:p w14:paraId="21642F9E" w14:textId="77777777" w:rsidR="008367C1" w:rsidRDefault="008367C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065C" w14:textId="77777777" w:rsidR="008367C1" w:rsidRDefault="008367C1" w:rsidP="00BF7674">
      <w:r>
        <w:separator/>
      </w:r>
    </w:p>
  </w:footnote>
  <w:footnote w:type="continuationSeparator" w:id="0">
    <w:p w14:paraId="59176CC3" w14:textId="77777777" w:rsidR="008367C1" w:rsidRDefault="008367C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4A0227C"/>
    <w:multiLevelType w:val="hybridMultilevel"/>
    <w:tmpl w:val="540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090042"/>
    <w:multiLevelType w:val="hybridMultilevel"/>
    <w:tmpl w:val="43D8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3"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FF3A66"/>
    <w:multiLevelType w:val="hybridMultilevel"/>
    <w:tmpl w:val="42D65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21"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3"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6E817A5"/>
    <w:multiLevelType w:val="hybridMultilevel"/>
    <w:tmpl w:val="91E0E20C"/>
    <w:lvl w:ilvl="0" w:tplc="5D44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75CAF"/>
    <w:multiLevelType w:val="hybridMultilevel"/>
    <w:tmpl w:val="0478CD40"/>
    <w:numStyleLink w:val="ImportierterStil6"/>
  </w:abstractNum>
  <w:abstractNum w:abstractNumId="31" w15:restartNumberingAfterBreak="0">
    <w:nsid w:val="3BE17632"/>
    <w:multiLevelType w:val="hybridMultilevel"/>
    <w:tmpl w:val="2896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33421E"/>
    <w:multiLevelType w:val="hybridMultilevel"/>
    <w:tmpl w:val="DA1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3"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94A7A3C"/>
    <w:multiLevelType w:val="multilevel"/>
    <w:tmpl w:val="5AD8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5F6101"/>
    <w:multiLevelType w:val="hybridMultilevel"/>
    <w:tmpl w:val="A4189F16"/>
    <w:numStyleLink w:val="ImportierterStil5"/>
  </w:abstractNum>
  <w:abstractNum w:abstractNumId="61"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3"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62"/>
  </w:num>
  <w:num w:numId="2" w16cid:durableId="573013156">
    <w:abstractNumId w:val="52"/>
  </w:num>
  <w:num w:numId="3" w16cid:durableId="1779830718">
    <w:abstractNumId w:val="15"/>
  </w:num>
  <w:num w:numId="4" w16cid:durableId="1569463906">
    <w:abstractNumId w:val="43"/>
  </w:num>
  <w:num w:numId="5" w16cid:durableId="1177963097">
    <w:abstractNumId w:val="38"/>
  </w:num>
  <w:num w:numId="6" w16cid:durableId="877358348">
    <w:abstractNumId w:val="47"/>
  </w:num>
  <w:num w:numId="7" w16cid:durableId="1485313395">
    <w:abstractNumId w:val="12"/>
  </w:num>
  <w:num w:numId="8" w16cid:durableId="148643838">
    <w:abstractNumId w:val="3"/>
  </w:num>
  <w:num w:numId="9" w16cid:durableId="94525090">
    <w:abstractNumId w:val="36"/>
  </w:num>
  <w:num w:numId="10" w16cid:durableId="1012222827">
    <w:abstractNumId w:val="64"/>
  </w:num>
  <w:num w:numId="11" w16cid:durableId="1222525925">
    <w:abstractNumId w:val="25"/>
  </w:num>
  <w:num w:numId="12" w16cid:durableId="1875265012">
    <w:abstractNumId w:val="5"/>
  </w:num>
  <w:num w:numId="13" w16cid:durableId="2007856369">
    <w:abstractNumId w:val="9"/>
  </w:num>
  <w:num w:numId="14" w16cid:durableId="708335730">
    <w:abstractNumId w:val="35"/>
  </w:num>
  <w:num w:numId="15" w16cid:durableId="1371497012">
    <w:abstractNumId w:val="39"/>
  </w:num>
  <w:num w:numId="16" w16cid:durableId="1061094076">
    <w:abstractNumId w:val="45"/>
  </w:num>
  <w:num w:numId="17" w16cid:durableId="661009111">
    <w:abstractNumId w:val="10"/>
  </w:num>
  <w:num w:numId="18" w16cid:durableId="153223711">
    <w:abstractNumId w:val="14"/>
  </w:num>
  <w:num w:numId="19" w16cid:durableId="2133135663">
    <w:abstractNumId w:val="23"/>
  </w:num>
  <w:num w:numId="20" w16cid:durableId="64307647">
    <w:abstractNumId w:val="34"/>
  </w:num>
  <w:num w:numId="21" w16cid:durableId="1929919801">
    <w:abstractNumId w:val="24"/>
  </w:num>
  <w:num w:numId="22" w16cid:durableId="727802846">
    <w:abstractNumId w:val="54"/>
  </w:num>
  <w:num w:numId="23" w16cid:durableId="1972127163">
    <w:abstractNumId w:val="11"/>
  </w:num>
  <w:num w:numId="24" w16cid:durableId="1258952273">
    <w:abstractNumId w:val="60"/>
  </w:num>
  <w:num w:numId="25" w16cid:durableId="1240478553">
    <w:abstractNumId w:val="59"/>
  </w:num>
  <w:num w:numId="26" w16cid:durableId="720591003">
    <w:abstractNumId w:val="30"/>
  </w:num>
  <w:num w:numId="27" w16cid:durableId="3824227">
    <w:abstractNumId w:val="7"/>
  </w:num>
  <w:num w:numId="28" w16cid:durableId="1430464670">
    <w:abstractNumId w:val="0"/>
  </w:num>
  <w:num w:numId="29" w16cid:durableId="2050565915">
    <w:abstractNumId w:val="48"/>
  </w:num>
  <w:num w:numId="30" w16cid:durableId="2031956082">
    <w:abstractNumId w:val="41"/>
  </w:num>
  <w:num w:numId="31" w16cid:durableId="1265530409">
    <w:abstractNumId w:val="33"/>
  </w:num>
  <w:num w:numId="32" w16cid:durableId="1920358751">
    <w:abstractNumId w:val="20"/>
  </w:num>
  <w:num w:numId="33" w16cid:durableId="1215654117">
    <w:abstractNumId w:val="27"/>
  </w:num>
  <w:num w:numId="34" w16cid:durableId="1977056716">
    <w:abstractNumId w:val="22"/>
  </w:num>
  <w:num w:numId="35" w16cid:durableId="401105074">
    <w:abstractNumId w:val="17"/>
  </w:num>
  <w:num w:numId="36" w16cid:durableId="1217201725">
    <w:abstractNumId w:val="4"/>
  </w:num>
  <w:num w:numId="37" w16cid:durableId="163010580">
    <w:abstractNumId w:val="63"/>
  </w:num>
  <w:num w:numId="38" w16cid:durableId="1356538684">
    <w:abstractNumId w:val="16"/>
  </w:num>
  <w:num w:numId="39" w16cid:durableId="1651638595">
    <w:abstractNumId w:val="13"/>
  </w:num>
  <w:num w:numId="40" w16cid:durableId="652298845">
    <w:abstractNumId w:val="51"/>
  </w:num>
  <w:num w:numId="41" w16cid:durableId="141895978">
    <w:abstractNumId w:val="55"/>
  </w:num>
  <w:num w:numId="42" w16cid:durableId="1476069352">
    <w:abstractNumId w:val="56"/>
  </w:num>
  <w:num w:numId="43" w16cid:durableId="31807214">
    <w:abstractNumId w:val="44"/>
  </w:num>
  <w:num w:numId="44" w16cid:durableId="730272711">
    <w:abstractNumId w:val="58"/>
  </w:num>
  <w:num w:numId="45" w16cid:durableId="1121344989">
    <w:abstractNumId w:val="40"/>
  </w:num>
  <w:num w:numId="46" w16cid:durableId="494148245">
    <w:abstractNumId w:val="53"/>
  </w:num>
  <w:num w:numId="47" w16cid:durableId="1313753577">
    <w:abstractNumId w:val="61"/>
  </w:num>
  <w:num w:numId="48" w16cid:durableId="802118184">
    <w:abstractNumId w:val="46"/>
  </w:num>
  <w:num w:numId="49" w16cid:durableId="1131678313">
    <w:abstractNumId w:val="18"/>
  </w:num>
  <w:num w:numId="50" w16cid:durableId="1108696075">
    <w:abstractNumId w:val="8"/>
  </w:num>
  <w:num w:numId="51" w16cid:durableId="9455054">
    <w:abstractNumId w:val="66"/>
  </w:num>
  <w:num w:numId="52" w16cid:durableId="1167943366">
    <w:abstractNumId w:val="42"/>
  </w:num>
  <w:num w:numId="53" w16cid:durableId="356853684">
    <w:abstractNumId w:val="26"/>
  </w:num>
  <w:num w:numId="54" w16cid:durableId="1640067503">
    <w:abstractNumId w:val="37"/>
  </w:num>
  <w:num w:numId="55" w16cid:durableId="1273437564">
    <w:abstractNumId w:val="50"/>
  </w:num>
  <w:num w:numId="56" w16cid:durableId="1678849969">
    <w:abstractNumId w:val="2"/>
  </w:num>
  <w:num w:numId="57" w16cid:durableId="1062098469">
    <w:abstractNumId w:val="21"/>
  </w:num>
  <w:num w:numId="58" w16cid:durableId="846939484">
    <w:abstractNumId w:val="28"/>
  </w:num>
  <w:num w:numId="59" w16cid:durableId="209269525">
    <w:abstractNumId w:val="49"/>
  </w:num>
  <w:num w:numId="60" w16cid:durableId="1249388470">
    <w:abstractNumId w:val="57"/>
  </w:num>
  <w:num w:numId="61" w16cid:durableId="1216233256">
    <w:abstractNumId w:val="29"/>
  </w:num>
  <w:num w:numId="62" w16cid:durableId="1516572674">
    <w:abstractNumId w:val="31"/>
  </w:num>
  <w:num w:numId="63" w16cid:durableId="894706247">
    <w:abstractNumId w:val="32"/>
  </w:num>
  <w:num w:numId="64" w16cid:durableId="555513217">
    <w:abstractNumId w:val="19"/>
  </w:num>
  <w:num w:numId="65" w16cid:durableId="1446341916">
    <w:abstractNumId w:val="65"/>
  </w:num>
  <w:num w:numId="66" w16cid:durableId="1274897988">
    <w:abstractNumId w:val="6"/>
  </w:num>
  <w:num w:numId="67" w16cid:durableId="9379550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0F2DE0"/>
    <w:rsid w:val="00101168"/>
    <w:rsid w:val="001025AC"/>
    <w:rsid w:val="00105358"/>
    <w:rsid w:val="00105DAD"/>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A1DA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141E"/>
    <w:rsid w:val="002B6370"/>
    <w:rsid w:val="002C5BD5"/>
    <w:rsid w:val="002D06C2"/>
    <w:rsid w:val="002E0455"/>
    <w:rsid w:val="002E5AB3"/>
    <w:rsid w:val="002F3FD6"/>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28D6"/>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0027"/>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0783"/>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447A4"/>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67C1"/>
    <w:rsid w:val="00837A99"/>
    <w:rsid w:val="00840737"/>
    <w:rsid w:val="00840AA9"/>
    <w:rsid w:val="008458E1"/>
    <w:rsid w:val="008510B3"/>
    <w:rsid w:val="00852E94"/>
    <w:rsid w:val="00852FAA"/>
    <w:rsid w:val="00856DBA"/>
    <w:rsid w:val="0086281A"/>
    <w:rsid w:val="00863AAB"/>
    <w:rsid w:val="008672B6"/>
    <w:rsid w:val="008761F9"/>
    <w:rsid w:val="008766AF"/>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0CC"/>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57A5D"/>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2024-03-10T09:26:00Z</dcterms:created>
  <dcterms:modified xsi:type="dcterms:W3CDTF">2024-03-10T09:26:00Z</dcterms:modified>
</cp:coreProperties>
</file>