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F00" w14:textId="77777777" w:rsidR="00D149BF" w:rsidRPr="0072423F" w:rsidRDefault="00D149BF" w:rsidP="00D149BF">
      <w:pPr>
        <w:pStyle w:val="PNLSubhead"/>
        <w:outlineLvl w:val="0"/>
        <w:rPr>
          <w:rFonts w:cstheme="minorHAnsi"/>
        </w:rPr>
      </w:pPr>
      <w:r w:rsidRPr="0072423F">
        <w:rPr>
          <w:rFonts w:cstheme="minorHAnsi"/>
        </w:rPr>
        <w:t>Dienstvereinbarung: So schaffen Sie klare Regeln bei Einstellungen</w:t>
      </w:r>
    </w:p>
    <w:p w14:paraId="011B2B3B" w14:textId="77777777" w:rsidR="00D149BF" w:rsidRPr="0072423F" w:rsidRDefault="00D149BF" w:rsidP="00D149BF">
      <w:pPr>
        <w:widowControl w:val="0"/>
        <w:autoSpaceDE w:val="0"/>
        <w:autoSpaceDN w:val="0"/>
        <w:adjustRightInd w:val="0"/>
        <w:jc w:val="both"/>
        <w:rPr>
          <w:sz w:val="22"/>
          <w:szCs w:val="22"/>
          <w:highlight w:val="yellow"/>
        </w:rPr>
      </w:pPr>
    </w:p>
    <w:p w14:paraId="0A561CF3" w14:textId="77777777" w:rsidR="00D149BF" w:rsidRPr="0072423F" w:rsidRDefault="00D149BF" w:rsidP="00D149BF">
      <w:pPr>
        <w:jc w:val="center"/>
        <w:outlineLvl w:val="0"/>
        <w:rPr>
          <w:b/>
          <w:i/>
          <w:iCs/>
          <w:sz w:val="28"/>
          <w:szCs w:val="28"/>
        </w:rPr>
      </w:pPr>
      <w:r w:rsidRPr="0072423F">
        <w:rPr>
          <w:b/>
          <w:i/>
          <w:iCs/>
          <w:sz w:val="28"/>
          <w:szCs w:val="28"/>
        </w:rPr>
        <w:t>Dienstvereinbarung</w:t>
      </w:r>
    </w:p>
    <w:p w14:paraId="24A157B1" w14:textId="77777777" w:rsidR="00D149BF" w:rsidRPr="0072423F" w:rsidRDefault="00D149BF" w:rsidP="00D149BF">
      <w:pPr>
        <w:jc w:val="center"/>
        <w:rPr>
          <w:i/>
          <w:iCs/>
          <w:sz w:val="22"/>
          <w:szCs w:val="22"/>
        </w:rPr>
      </w:pPr>
    </w:p>
    <w:p w14:paraId="5CADF63B" w14:textId="77777777" w:rsidR="00D149BF" w:rsidRPr="0072423F" w:rsidRDefault="00D149BF" w:rsidP="00D149BF">
      <w:pPr>
        <w:jc w:val="center"/>
        <w:rPr>
          <w:i/>
          <w:iCs/>
        </w:rPr>
      </w:pPr>
      <w:r w:rsidRPr="0072423F">
        <w:rPr>
          <w:i/>
          <w:iCs/>
        </w:rPr>
        <w:t xml:space="preserve">zwischen </w:t>
      </w:r>
    </w:p>
    <w:p w14:paraId="18CC1E39" w14:textId="77777777" w:rsidR="00D149BF" w:rsidRPr="0072423F" w:rsidRDefault="00D149BF" w:rsidP="00D149BF">
      <w:pPr>
        <w:jc w:val="center"/>
        <w:rPr>
          <w:i/>
          <w:iCs/>
        </w:rPr>
      </w:pPr>
    </w:p>
    <w:p w14:paraId="69B03856" w14:textId="77777777" w:rsidR="00D149BF" w:rsidRPr="0072423F" w:rsidRDefault="00D149BF" w:rsidP="00D149BF">
      <w:pPr>
        <w:autoSpaceDE w:val="0"/>
        <w:autoSpaceDN w:val="0"/>
        <w:adjustRightInd w:val="0"/>
        <w:jc w:val="center"/>
        <w:rPr>
          <w:i/>
          <w:iCs/>
        </w:rPr>
      </w:pPr>
      <w:r w:rsidRPr="0072423F">
        <w:rPr>
          <w:i/>
          <w:iCs/>
        </w:rPr>
        <w:t xml:space="preserve">dem Personalrat der Dienststelle ... </w:t>
      </w:r>
    </w:p>
    <w:p w14:paraId="286E2DF6" w14:textId="77777777" w:rsidR="00D149BF" w:rsidRPr="0072423F" w:rsidRDefault="00D149BF" w:rsidP="00D149BF">
      <w:pPr>
        <w:jc w:val="center"/>
        <w:rPr>
          <w:i/>
          <w:iCs/>
        </w:rPr>
      </w:pPr>
    </w:p>
    <w:p w14:paraId="25E5ED5E" w14:textId="77777777" w:rsidR="00D149BF" w:rsidRPr="0072423F" w:rsidRDefault="00D149BF" w:rsidP="00D149BF">
      <w:pPr>
        <w:jc w:val="center"/>
        <w:rPr>
          <w:i/>
          <w:iCs/>
        </w:rPr>
      </w:pPr>
      <w:r w:rsidRPr="0072423F">
        <w:rPr>
          <w:i/>
          <w:iCs/>
        </w:rPr>
        <w:t>und</w:t>
      </w:r>
    </w:p>
    <w:p w14:paraId="00CFEF11" w14:textId="77777777" w:rsidR="00D149BF" w:rsidRPr="0072423F" w:rsidRDefault="00D149BF" w:rsidP="00D149BF">
      <w:pPr>
        <w:jc w:val="center"/>
        <w:rPr>
          <w:i/>
          <w:iCs/>
        </w:rPr>
      </w:pPr>
    </w:p>
    <w:p w14:paraId="44131054" w14:textId="77777777" w:rsidR="00D149BF" w:rsidRPr="0072423F" w:rsidRDefault="00D149BF" w:rsidP="00D149BF">
      <w:pPr>
        <w:jc w:val="center"/>
        <w:rPr>
          <w:i/>
          <w:iCs/>
        </w:rPr>
      </w:pPr>
      <w:r w:rsidRPr="0072423F">
        <w:rPr>
          <w:i/>
          <w:iCs/>
        </w:rPr>
        <w:t xml:space="preserve">der Dienststellenleitung der Dienststelle ... </w:t>
      </w:r>
    </w:p>
    <w:p w14:paraId="2A66465A" w14:textId="77777777" w:rsidR="00D149BF" w:rsidRPr="0072423F" w:rsidRDefault="00D149BF" w:rsidP="00D149BF">
      <w:pPr>
        <w:jc w:val="center"/>
        <w:rPr>
          <w:i/>
          <w:iCs/>
        </w:rPr>
      </w:pPr>
      <w:r w:rsidRPr="0072423F">
        <w:rPr>
          <w:i/>
          <w:iCs/>
        </w:rPr>
        <w:t xml:space="preserve">wegen </w:t>
      </w:r>
    </w:p>
    <w:p w14:paraId="30A5B5DA" w14:textId="77777777" w:rsidR="00D149BF" w:rsidRPr="0072423F" w:rsidRDefault="00D149BF" w:rsidP="00D149BF">
      <w:pPr>
        <w:jc w:val="center"/>
        <w:rPr>
          <w:i/>
          <w:iCs/>
        </w:rPr>
      </w:pPr>
    </w:p>
    <w:p w14:paraId="603E26CA" w14:textId="77777777" w:rsidR="00D149BF" w:rsidRPr="0072423F" w:rsidRDefault="00D149BF" w:rsidP="00D149BF">
      <w:pPr>
        <w:jc w:val="center"/>
        <w:rPr>
          <w:i/>
          <w:iCs/>
        </w:rPr>
      </w:pPr>
      <w:r w:rsidRPr="0072423F">
        <w:rPr>
          <w:i/>
          <w:iCs/>
        </w:rPr>
        <w:t>Auswahlrichtlinien bei Einstelllungen</w:t>
      </w:r>
    </w:p>
    <w:p w14:paraId="4B62EEDF" w14:textId="77777777" w:rsidR="00D149BF" w:rsidRPr="0072423F" w:rsidRDefault="00D149BF" w:rsidP="00D149BF">
      <w:pPr>
        <w:jc w:val="center"/>
        <w:rPr>
          <w:i/>
          <w:iCs/>
        </w:rPr>
      </w:pPr>
    </w:p>
    <w:p w14:paraId="2D72B289" w14:textId="77777777" w:rsidR="00D149BF" w:rsidRPr="0072423F" w:rsidRDefault="00D149BF" w:rsidP="00D149BF">
      <w:pPr>
        <w:jc w:val="center"/>
        <w:rPr>
          <w:i/>
          <w:iCs/>
        </w:rPr>
      </w:pPr>
    </w:p>
    <w:p w14:paraId="2437FD39" w14:textId="77777777" w:rsidR="00D149BF" w:rsidRPr="0072423F" w:rsidRDefault="00D149BF" w:rsidP="00D149BF">
      <w:pPr>
        <w:pStyle w:val="jm1a"/>
        <w:widowControl w:val="0"/>
        <w:rPr>
          <w:rFonts w:ascii="Times New Roman" w:hAnsi="Times New Roman"/>
          <w:i/>
          <w:iCs/>
          <w:sz w:val="24"/>
          <w:szCs w:val="24"/>
        </w:rPr>
      </w:pPr>
      <w:r w:rsidRPr="0072423F">
        <w:rPr>
          <w:rStyle w:val="jm40"/>
          <w:rFonts w:ascii="Times New Roman" w:hAnsi="Times New Roman"/>
          <w:i/>
          <w:iCs/>
          <w:sz w:val="24"/>
          <w:szCs w:val="24"/>
        </w:rPr>
        <w:t>Vorbemerkung</w:t>
      </w:r>
      <w:r w:rsidRPr="0072423F">
        <w:rPr>
          <w:rFonts w:ascii="Times New Roman" w:hAnsi="Times New Roman"/>
          <w:i/>
          <w:iCs/>
          <w:sz w:val="24"/>
          <w:szCs w:val="24"/>
        </w:rPr>
        <w:t>: Aus Gründen der besseren Lesbarkeit wurde die männliche Sprachform bei der Formulierung dieser Dienstvereinbarung gewählt. Personalrat und Dienstherr versichern, dass sie alle Beschäftigten und andere Personen diskriminierungsfrei und gleichberechtigt behandeln werden.</w:t>
      </w:r>
    </w:p>
    <w:p w14:paraId="12FA4A2D" w14:textId="77777777" w:rsidR="00D149BF" w:rsidRPr="0072423F" w:rsidRDefault="00D149BF" w:rsidP="00D149BF">
      <w:pPr>
        <w:pStyle w:val="jm1a"/>
        <w:widowControl w:val="0"/>
        <w:rPr>
          <w:rFonts w:ascii="Times New Roman" w:hAnsi="Times New Roman"/>
          <w:i/>
          <w:iCs/>
          <w:sz w:val="24"/>
          <w:szCs w:val="24"/>
          <w:highlight w:val="lightGray"/>
        </w:rPr>
      </w:pPr>
    </w:p>
    <w:p w14:paraId="26FC6B5A" w14:textId="77777777" w:rsidR="00D149BF" w:rsidRPr="0072423F" w:rsidRDefault="00D149BF" w:rsidP="00D149BF">
      <w:pPr>
        <w:suppressAutoHyphens/>
        <w:jc w:val="both"/>
        <w:rPr>
          <w:b/>
          <w:i/>
          <w:iCs/>
        </w:rPr>
      </w:pPr>
      <w:r w:rsidRPr="0072423F">
        <w:rPr>
          <w:b/>
          <w:i/>
          <w:iCs/>
        </w:rPr>
        <w:t>§ 1 Ziel der Dienstvereinbarung</w:t>
      </w:r>
    </w:p>
    <w:p w14:paraId="3CAF2EB7" w14:textId="77777777" w:rsidR="00D149BF" w:rsidRPr="0072423F" w:rsidRDefault="00D149BF" w:rsidP="00D149BF">
      <w:pPr>
        <w:suppressAutoHyphens/>
        <w:jc w:val="both"/>
        <w:rPr>
          <w:i/>
          <w:iCs/>
        </w:rPr>
      </w:pPr>
      <w:r w:rsidRPr="0072423F">
        <w:rPr>
          <w:i/>
          <w:iCs/>
        </w:rPr>
        <w:t>Mit dieser Dienstvereinbarung werden verbindliche Regelungen für die Einstellung von Beschäftigten durch die Dienststellenleitung und die erforderliche Anhörung des Personalrats festgelegt.</w:t>
      </w:r>
    </w:p>
    <w:p w14:paraId="27A00636" w14:textId="77777777" w:rsidR="00D149BF" w:rsidRPr="0072423F" w:rsidRDefault="00D149BF" w:rsidP="00D149BF">
      <w:pPr>
        <w:suppressAutoHyphens/>
        <w:jc w:val="both"/>
        <w:rPr>
          <w:i/>
          <w:iCs/>
        </w:rPr>
      </w:pPr>
    </w:p>
    <w:p w14:paraId="411B1664" w14:textId="77777777" w:rsidR="00D149BF" w:rsidRPr="0072423F" w:rsidRDefault="00D149BF" w:rsidP="00D149BF">
      <w:pPr>
        <w:suppressAutoHyphens/>
        <w:jc w:val="both"/>
        <w:rPr>
          <w:b/>
          <w:i/>
          <w:iCs/>
        </w:rPr>
      </w:pPr>
      <w:r w:rsidRPr="0072423F">
        <w:rPr>
          <w:b/>
          <w:i/>
          <w:iCs/>
        </w:rPr>
        <w:t>§ 2 Beteiligungsrechte des Personalrats</w:t>
      </w:r>
    </w:p>
    <w:p w14:paraId="4736CCD3" w14:textId="77777777" w:rsidR="00D149BF" w:rsidRPr="0072423F" w:rsidRDefault="00D149BF" w:rsidP="00D149BF">
      <w:pPr>
        <w:suppressAutoHyphens/>
        <w:jc w:val="both"/>
        <w:rPr>
          <w:rFonts w:eastAsia="Arial"/>
          <w:i/>
          <w:iCs/>
          <w:color w:val="000000"/>
        </w:rPr>
      </w:pPr>
      <w:r w:rsidRPr="0072423F">
        <w:rPr>
          <w:rFonts w:eastAsia="Arial"/>
          <w:i/>
          <w:iCs/>
          <w:color w:val="000000"/>
        </w:rPr>
        <w:t>Vor jeder Einstellung ist der Personalrat von der Dienststellenleitung zu unterrichten. Die Unterrichtung hat zusammen mit der Vorlage der erforderlichen Unterlagen einschließlich etwaiger Bewerbungsunterlagen bzw. Auskunft über die geplante Maßnahme zu erfolgen. </w:t>
      </w:r>
    </w:p>
    <w:p w14:paraId="1C5C93F8" w14:textId="77777777" w:rsidR="00D149BF" w:rsidRPr="0072423F" w:rsidRDefault="00D149BF" w:rsidP="00D149BF">
      <w:pPr>
        <w:suppressAutoHyphens/>
        <w:jc w:val="both"/>
        <w:rPr>
          <w:rFonts w:eastAsia="Arial"/>
          <w:i/>
          <w:iCs/>
          <w:color w:val="000000"/>
        </w:rPr>
      </w:pPr>
    </w:p>
    <w:p w14:paraId="26A5585A" w14:textId="77777777" w:rsidR="00D149BF" w:rsidRPr="0072423F" w:rsidRDefault="00D149BF" w:rsidP="00D149BF">
      <w:pPr>
        <w:suppressAutoHyphens/>
        <w:jc w:val="both"/>
        <w:rPr>
          <w:b/>
          <w:i/>
          <w:iCs/>
        </w:rPr>
      </w:pPr>
      <w:r w:rsidRPr="0072423F">
        <w:rPr>
          <w:rFonts w:eastAsia="Arial"/>
          <w:i/>
          <w:iCs/>
          <w:color w:val="000000"/>
        </w:rPr>
        <w:t xml:space="preserve">Bei Verwendung von Online-Bewerbungstools wird dem Personalrat zur Wahrnehmung seiner Beteiligungsrechte ein </w:t>
      </w:r>
      <w:r>
        <w:rPr>
          <w:rFonts w:eastAsia="Arial"/>
          <w:i/>
          <w:iCs/>
          <w:color w:val="000000"/>
        </w:rPr>
        <w:t>Lese</w:t>
      </w:r>
      <w:r w:rsidRPr="0072423F">
        <w:rPr>
          <w:rFonts w:eastAsia="Arial"/>
          <w:i/>
          <w:iCs/>
          <w:color w:val="000000"/>
        </w:rPr>
        <w:t xml:space="preserve">zugang </w:t>
      </w:r>
      <w:r>
        <w:rPr>
          <w:rFonts w:eastAsia="Arial"/>
          <w:i/>
          <w:iCs/>
          <w:color w:val="000000"/>
        </w:rPr>
        <w:t xml:space="preserve">zum System </w:t>
      </w:r>
      <w:r w:rsidRPr="0072423F">
        <w:rPr>
          <w:rFonts w:eastAsia="Arial"/>
          <w:i/>
          <w:iCs/>
          <w:color w:val="000000"/>
        </w:rPr>
        <w:t>eingerichtet.</w:t>
      </w:r>
    </w:p>
    <w:p w14:paraId="303B4492" w14:textId="77777777" w:rsidR="00D149BF" w:rsidRPr="0072423F" w:rsidRDefault="00D149BF" w:rsidP="00D149BF">
      <w:pPr>
        <w:spacing w:before="220" w:after="220"/>
        <w:rPr>
          <w:i/>
          <w:iCs/>
        </w:rPr>
      </w:pPr>
      <w:r w:rsidRPr="0072423F">
        <w:rPr>
          <w:rFonts w:eastAsia="Arial"/>
          <w:i/>
          <w:iCs/>
          <w:color w:val="000000"/>
        </w:rPr>
        <w:t>Bei Einstellungen müssen grundsätzlich die gesetzlichen, tariflichen und betrieblichen Regelungen berücksichtigt werden. Dabei sollen vor allem </w:t>
      </w:r>
    </w:p>
    <w:p w14:paraId="6CC260A4" w14:textId="77777777" w:rsidR="00D149BF" w:rsidRPr="0072423F" w:rsidRDefault="00D149BF" w:rsidP="00D149BF">
      <w:pPr>
        <w:numPr>
          <w:ilvl w:val="0"/>
          <w:numId w:val="65"/>
        </w:numPr>
        <w:rPr>
          <w:rFonts w:eastAsia="Arial"/>
          <w:i/>
          <w:iCs/>
          <w:color w:val="000000"/>
        </w:rPr>
      </w:pPr>
      <w:r w:rsidRPr="0072423F">
        <w:rPr>
          <w:rFonts w:eastAsia="Arial"/>
          <w:i/>
          <w:iCs/>
          <w:color w:val="000000"/>
        </w:rPr>
        <w:t>die im Betrieb beschäftigten Personen nach Recht und Billigkeit behandelt werden</w:t>
      </w:r>
      <w:r>
        <w:rPr>
          <w:rFonts w:eastAsia="Arial"/>
          <w:i/>
          <w:iCs/>
          <w:color w:val="000000"/>
        </w:rPr>
        <w:t xml:space="preserve"> und</w:t>
      </w:r>
    </w:p>
    <w:p w14:paraId="780257FB" w14:textId="77777777" w:rsidR="00D149BF" w:rsidRPr="0072423F" w:rsidRDefault="00D149BF" w:rsidP="00D149BF">
      <w:pPr>
        <w:numPr>
          <w:ilvl w:val="0"/>
          <w:numId w:val="65"/>
        </w:numPr>
        <w:rPr>
          <w:rFonts w:eastAsia="Arial"/>
          <w:i/>
          <w:iCs/>
          <w:color w:val="000000"/>
        </w:rPr>
      </w:pPr>
      <w:r w:rsidRPr="0072423F">
        <w:rPr>
          <w:rFonts w:eastAsia="Arial"/>
          <w:i/>
          <w:iCs/>
          <w:color w:val="000000"/>
        </w:rPr>
        <w:t>die freie Entfaltung der Persönlichkeit der Mitarbeiter geschützt und gefördert werden</w:t>
      </w:r>
      <w:r>
        <w:rPr>
          <w:rFonts w:eastAsia="Arial"/>
          <w:i/>
          <w:iCs/>
          <w:color w:val="000000"/>
        </w:rPr>
        <w:t>.</w:t>
      </w:r>
    </w:p>
    <w:p w14:paraId="0CF62150" w14:textId="77777777" w:rsidR="00D149BF" w:rsidRPr="0072423F" w:rsidRDefault="00D149BF" w:rsidP="00D149BF">
      <w:pPr>
        <w:ind w:left="360"/>
        <w:rPr>
          <w:rFonts w:eastAsia="Arial"/>
          <w:i/>
          <w:iCs/>
          <w:color w:val="000000"/>
        </w:rPr>
      </w:pPr>
    </w:p>
    <w:p w14:paraId="5968A78B" w14:textId="77777777" w:rsidR="00D149BF" w:rsidRPr="0072423F" w:rsidRDefault="00D149BF" w:rsidP="00D149BF">
      <w:pPr>
        <w:suppressAutoHyphens/>
        <w:jc w:val="both"/>
        <w:rPr>
          <w:b/>
          <w:i/>
          <w:iCs/>
        </w:rPr>
      </w:pPr>
      <w:r w:rsidRPr="0072423F">
        <w:rPr>
          <w:b/>
          <w:i/>
          <w:iCs/>
        </w:rPr>
        <w:t>§ 3 Auswahlentscheidung</w:t>
      </w:r>
    </w:p>
    <w:p w14:paraId="1EF06327" w14:textId="77777777" w:rsidR="00D149BF" w:rsidRPr="0072423F" w:rsidRDefault="00D149BF" w:rsidP="00D149BF">
      <w:pPr>
        <w:suppressAutoHyphens/>
        <w:jc w:val="both"/>
        <w:rPr>
          <w:b/>
          <w:i/>
          <w:iCs/>
        </w:rPr>
      </w:pPr>
      <w:r w:rsidRPr="0072423F">
        <w:rPr>
          <w:rFonts w:eastAsia="Arial"/>
          <w:i/>
          <w:iCs/>
          <w:color w:val="000000"/>
        </w:rPr>
        <w:t>Freie Arbeitsplätze werden grundsätzlich auch intern ausgeschrieben.</w:t>
      </w:r>
    </w:p>
    <w:p w14:paraId="071898FA" w14:textId="77777777" w:rsidR="00D149BF" w:rsidRPr="0072423F" w:rsidRDefault="00D149BF" w:rsidP="00D149BF">
      <w:pPr>
        <w:spacing w:before="220" w:after="220"/>
        <w:rPr>
          <w:i/>
          <w:iCs/>
        </w:rPr>
      </w:pPr>
      <w:r w:rsidRPr="0072423F">
        <w:rPr>
          <w:rFonts w:eastAsia="Arial"/>
          <w:i/>
          <w:iCs/>
          <w:color w:val="000000"/>
        </w:rPr>
        <w:t>Ein interner Bewerber ist einem externen Bewerber mit vergleichbaren Qualifikationen stets zu bevorzugen. </w:t>
      </w:r>
    </w:p>
    <w:p w14:paraId="55B15F13" w14:textId="77777777" w:rsidR="00D149BF" w:rsidRPr="0072423F" w:rsidRDefault="00D149BF" w:rsidP="00D149BF">
      <w:pPr>
        <w:spacing w:before="220" w:after="220"/>
        <w:rPr>
          <w:i/>
          <w:iCs/>
        </w:rPr>
      </w:pPr>
      <w:r w:rsidRPr="0072423F">
        <w:rPr>
          <w:rFonts w:eastAsia="Arial"/>
          <w:i/>
          <w:iCs/>
          <w:color w:val="000000"/>
        </w:rPr>
        <w:lastRenderedPageBreak/>
        <w:t>Für die Auswahlentscheidungen werden ausschließlich die aus dem Personalfragebogen oder aus sonstigen Bewerbungsunterlagen ersichtlichen Tatsachen zugrunde gelegt. </w:t>
      </w:r>
    </w:p>
    <w:p w14:paraId="109934D8" w14:textId="77777777" w:rsidR="00D149BF" w:rsidRPr="0072423F" w:rsidRDefault="00D149BF" w:rsidP="00D149BF">
      <w:pPr>
        <w:spacing w:before="220" w:after="220"/>
        <w:rPr>
          <w:rFonts w:eastAsia="Arial"/>
          <w:i/>
          <w:iCs/>
          <w:color w:val="000000"/>
        </w:rPr>
      </w:pPr>
      <w:r w:rsidRPr="0072423F">
        <w:rPr>
          <w:rFonts w:eastAsia="Arial"/>
          <w:i/>
          <w:iCs/>
          <w:color w:val="000000"/>
        </w:rPr>
        <w:t>Der Personalrat wird von der Dienststellenleitung auch über Bewerber, die nicht am weiteren Auswahlprozess teilnehmen, unterrichtet. Beantragt der Personalrat die Berücksichtigung dieser Bewerber am weiteren Auswahlprozess, müssen sie in diesen miteinbezogen werden. </w:t>
      </w:r>
    </w:p>
    <w:p w14:paraId="608D0D3F" w14:textId="77777777" w:rsidR="00D149BF" w:rsidRPr="0072423F" w:rsidRDefault="00D149BF" w:rsidP="00D149BF">
      <w:pPr>
        <w:suppressAutoHyphens/>
        <w:jc w:val="both"/>
        <w:rPr>
          <w:b/>
          <w:i/>
          <w:iCs/>
        </w:rPr>
      </w:pPr>
      <w:r w:rsidRPr="0072423F">
        <w:rPr>
          <w:b/>
          <w:i/>
          <w:iCs/>
        </w:rPr>
        <w:t>§ 4 Auswahlgesichtspunkte</w:t>
      </w:r>
    </w:p>
    <w:p w14:paraId="1E420E5E" w14:textId="77777777" w:rsidR="00D149BF" w:rsidRPr="0072423F" w:rsidRDefault="00D149BF" w:rsidP="00D149BF">
      <w:pPr>
        <w:suppressAutoHyphens/>
        <w:jc w:val="both"/>
        <w:rPr>
          <w:b/>
          <w:i/>
          <w:iCs/>
        </w:rPr>
      </w:pPr>
      <w:r w:rsidRPr="0072423F">
        <w:rPr>
          <w:rFonts w:eastAsia="Arial"/>
          <w:i/>
          <w:iCs/>
          <w:color w:val="000000"/>
        </w:rPr>
        <w:t>Die Auswahlentscheidung erfolgt nach fachlichen, persönlichen und sozialen Gesichtspunkten.</w:t>
      </w:r>
    </w:p>
    <w:p w14:paraId="672DF5E0" w14:textId="77777777" w:rsidR="00D149BF" w:rsidRPr="0072423F" w:rsidRDefault="00D149BF" w:rsidP="00D149BF">
      <w:pPr>
        <w:spacing w:before="220" w:after="220"/>
        <w:rPr>
          <w:i/>
          <w:iCs/>
        </w:rPr>
      </w:pPr>
      <w:r w:rsidRPr="0072423F">
        <w:rPr>
          <w:rFonts w:eastAsia="Arial"/>
          <w:i/>
          <w:iCs/>
          <w:color w:val="000000"/>
        </w:rPr>
        <w:t>Im fachlichen Bereich werden dabei vor allem berücksichtigt:</w:t>
      </w:r>
    </w:p>
    <w:p w14:paraId="693E8863" w14:textId="77777777" w:rsidR="00D149BF" w:rsidRPr="0072423F" w:rsidRDefault="00D149BF" w:rsidP="00D149BF">
      <w:pPr>
        <w:numPr>
          <w:ilvl w:val="0"/>
          <w:numId w:val="65"/>
        </w:numPr>
        <w:rPr>
          <w:rFonts w:eastAsia="Arial"/>
          <w:i/>
          <w:iCs/>
          <w:color w:val="000000"/>
        </w:rPr>
      </w:pPr>
      <w:r w:rsidRPr="0072423F">
        <w:rPr>
          <w:rFonts w:eastAsia="Arial"/>
          <w:i/>
          <w:iCs/>
          <w:color w:val="000000"/>
        </w:rPr>
        <w:t>Schul- und Berufsbildung</w:t>
      </w:r>
    </w:p>
    <w:p w14:paraId="1F031B07" w14:textId="77777777" w:rsidR="00D149BF" w:rsidRPr="0072423F" w:rsidRDefault="00D149BF" w:rsidP="00D149BF">
      <w:pPr>
        <w:numPr>
          <w:ilvl w:val="0"/>
          <w:numId w:val="65"/>
        </w:numPr>
        <w:rPr>
          <w:rFonts w:eastAsia="Arial"/>
          <w:i/>
          <w:iCs/>
          <w:color w:val="000000"/>
        </w:rPr>
      </w:pPr>
      <w:r w:rsidRPr="0072423F">
        <w:rPr>
          <w:rFonts w:eastAsia="Arial"/>
          <w:i/>
          <w:iCs/>
          <w:color w:val="000000"/>
        </w:rPr>
        <w:t>abgelegte Prüfungen</w:t>
      </w:r>
    </w:p>
    <w:p w14:paraId="5530A5F2" w14:textId="77777777" w:rsidR="00D149BF" w:rsidRPr="0072423F" w:rsidRDefault="00D149BF" w:rsidP="00D149BF">
      <w:pPr>
        <w:numPr>
          <w:ilvl w:val="0"/>
          <w:numId w:val="65"/>
        </w:numPr>
        <w:rPr>
          <w:rFonts w:eastAsia="Arial"/>
          <w:i/>
          <w:iCs/>
          <w:color w:val="000000"/>
        </w:rPr>
      </w:pPr>
      <w:r w:rsidRPr="0072423F">
        <w:rPr>
          <w:rFonts w:eastAsia="Arial"/>
          <w:i/>
          <w:iCs/>
          <w:color w:val="000000"/>
        </w:rPr>
        <w:t>erforderliche Grund- und Spezialkenntnisse </w:t>
      </w:r>
    </w:p>
    <w:p w14:paraId="465B1CEA" w14:textId="77777777" w:rsidR="00D149BF" w:rsidRPr="0072423F" w:rsidRDefault="00D149BF" w:rsidP="00D149BF">
      <w:pPr>
        <w:numPr>
          <w:ilvl w:val="0"/>
          <w:numId w:val="65"/>
        </w:numPr>
        <w:rPr>
          <w:rFonts w:eastAsia="Arial"/>
          <w:i/>
          <w:iCs/>
          <w:color w:val="000000"/>
        </w:rPr>
      </w:pPr>
      <w:r w:rsidRPr="0072423F">
        <w:rPr>
          <w:rFonts w:eastAsia="Arial"/>
          <w:i/>
          <w:iCs/>
          <w:color w:val="000000"/>
        </w:rPr>
        <w:t>tätigkeitsbezogene Erfahrung</w:t>
      </w:r>
    </w:p>
    <w:p w14:paraId="30711B58" w14:textId="77777777" w:rsidR="00D149BF" w:rsidRPr="0072423F" w:rsidRDefault="00D149BF" w:rsidP="00D149BF">
      <w:pPr>
        <w:numPr>
          <w:ilvl w:val="0"/>
          <w:numId w:val="65"/>
        </w:numPr>
        <w:rPr>
          <w:rFonts w:eastAsia="Arial"/>
          <w:i/>
          <w:iCs/>
          <w:color w:val="000000"/>
        </w:rPr>
      </w:pPr>
      <w:r w:rsidRPr="0072423F">
        <w:rPr>
          <w:rFonts w:eastAsia="Arial"/>
          <w:i/>
          <w:iCs/>
          <w:color w:val="000000"/>
        </w:rPr>
        <w:t>Fähigkeit und Bereitschaft, sich zusätzlich erforderliche Kenntnisse und Erfahrungen anzueignen. </w:t>
      </w:r>
    </w:p>
    <w:p w14:paraId="7E32CCBE" w14:textId="77777777" w:rsidR="00D149BF" w:rsidRPr="0072423F" w:rsidRDefault="00D149BF" w:rsidP="00D149BF">
      <w:pPr>
        <w:spacing w:before="220" w:after="220"/>
        <w:rPr>
          <w:i/>
          <w:iCs/>
        </w:rPr>
      </w:pPr>
      <w:r w:rsidRPr="0072423F">
        <w:rPr>
          <w:rFonts w:eastAsia="Arial"/>
          <w:i/>
          <w:iCs/>
          <w:color w:val="000000"/>
        </w:rPr>
        <w:t>Im persönlichen Bereich werden vor allem berücksichtigt:</w:t>
      </w:r>
    </w:p>
    <w:p w14:paraId="7DE583B0" w14:textId="77777777" w:rsidR="00D149BF" w:rsidRPr="0072423F" w:rsidRDefault="00D149BF" w:rsidP="00D149BF">
      <w:pPr>
        <w:numPr>
          <w:ilvl w:val="0"/>
          <w:numId w:val="65"/>
        </w:numPr>
        <w:rPr>
          <w:rFonts w:eastAsia="Arial"/>
          <w:i/>
          <w:iCs/>
          <w:color w:val="000000"/>
        </w:rPr>
      </w:pPr>
      <w:r w:rsidRPr="0072423F">
        <w:rPr>
          <w:rFonts w:eastAsia="Arial"/>
          <w:i/>
          <w:iCs/>
          <w:color w:val="000000"/>
        </w:rPr>
        <w:t>Zuverlässigkeit und Einigung des Bewerbers</w:t>
      </w:r>
    </w:p>
    <w:p w14:paraId="68FA0214" w14:textId="77777777" w:rsidR="00D149BF" w:rsidRPr="0072423F" w:rsidRDefault="00D149BF" w:rsidP="00D149BF">
      <w:pPr>
        <w:numPr>
          <w:ilvl w:val="0"/>
          <w:numId w:val="65"/>
        </w:numPr>
        <w:rPr>
          <w:rFonts w:eastAsia="Arial"/>
          <w:i/>
          <w:iCs/>
          <w:color w:val="000000"/>
        </w:rPr>
      </w:pPr>
      <w:r w:rsidRPr="0072423F">
        <w:rPr>
          <w:rFonts w:eastAsia="Arial"/>
          <w:i/>
          <w:iCs/>
          <w:color w:val="000000"/>
        </w:rPr>
        <w:t>Anforderungen aus arbeitsmedizinischer Sicht</w:t>
      </w:r>
    </w:p>
    <w:p w14:paraId="5A2E9EF1" w14:textId="77777777" w:rsidR="00D149BF" w:rsidRPr="0072423F" w:rsidRDefault="00D149BF" w:rsidP="00D149BF">
      <w:pPr>
        <w:numPr>
          <w:ilvl w:val="0"/>
          <w:numId w:val="65"/>
        </w:numPr>
        <w:rPr>
          <w:rFonts w:eastAsia="Arial"/>
          <w:i/>
          <w:iCs/>
          <w:color w:val="000000"/>
        </w:rPr>
      </w:pPr>
      <w:r w:rsidRPr="0072423F">
        <w:rPr>
          <w:rFonts w:eastAsia="Arial"/>
          <w:i/>
          <w:iCs/>
          <w:color w:val="000000"/>
        </w:rPr>
        <w:t>ggf. erforderliche Tauglichkeitsuntersuchungen</w:t>
      </w:r>
    </w:p>
    <w:p w14:paraId="4994700C" w14:textId="77777777" w:rsidR="00D149BF" w:rsidRPr="0072423F" w:rsidRDefault="00D149BF" w:rsidP="00D149BF">
      <w:pPr>
        <w:numPr>
          <w:ilvl w:val="0"/>
          <w:numId w:val="65"/>
        </w:numPr>
        <w:rPr>
          <w:rFonts w:eastAsia="Arial"/>
          <w:i/>
          <w:iCs/>
          <w:color w:val="000000"/>
        </w:rPr>
      </w:pPr>
      <w:r>
        <w:rPr>
          <w:rFonts w:eastAsia="Arial"/>
          <w:i/>
          <w:iCs/>
          <w:color w:val="000000"/>
        </w:rPr>
        <w:t>Eignung</w:t>
      </w:r>
      <w:r w:rsidRPr="0072423F">
        <w:rPr>
          <w:rFonts w:eastAsia="Arial"/>
          <w:i/>
          <w:iCs/>
          <w:color w:val="000000"/>
        </w:rPr>
        <w:t xml:space="preserve"> zur Eingliederung in Arbeitsgruppen</w:t>
      </w:r>
    </w:p>
    <w:p w14:paraId="5E9B56CC" w14:textId="77777777" w:rsidR="00D149BF" w:rsidRPr="0072423F" w:rsidRDefault="00D149BF" w:rsidP="00D149BF">
      <w:pPr>
        <w:numPr>
          <w:ilvl w:val="0"/>
          <w:numId w:val="65"/>
        </w:numPr>
        <w:rPr>
          <w:rFonts w:eastAsia="Arial"/>
          <w:i/>
          <w:iCs/>
          <w:color w:val="000000"/>
        </w:rPr>
      </w:pPr>
      <w:r w:rsidRPr="0072423F">
        <w:rPr>
          <w:rFonts w:eastAsia="Arial"/>
          <w:i/>
          <w:iCs/>
          <w:color w:val="000000"/>
        </w:rPr>
        <w:t>soweit erforderlich Führungseigenschaften </w:t>
      </w:r>
    </w:p>
    <w:p w14:paraId="085DB32B" w14:textId="77777777" w:rsidR="00D149BF" w:rsidRPr="0072423F" w:rsidRDefault="00D149BF" w:rsidP="00D149BF">
      <w:pPr>
        <w:spacing w:before="220" w:after="220"/>
        <w:rPr>
          <w:i/>
          <w:iCs/>
        </w:rPr>
      </w:pPr>
      <w:r w:rsidRPr="0072423F">
        <w:rPr>
          <w:rFonts w:eastAsia="Arial"/>
          <w:i/>
          <w:iCs/>
          <w:color w:val="000000"/>
        </w:rPr>
        <w:t>Im sozialen Bereich werden vor allem berücksichtigt: </w:t>
      </w:r>
    </w:p>
    <w:p w14:paraId="0DAF310C" w14:textId="77777777" w:rsidR="00D149BF" w:rsidRPr="0072423F" w:rsidRDefault="00D149BF" w:rsidP="00D149BF">
      <w:pPr>
        <w:numPr>
          <w:ilvl w:val="0"/>
          <w:numId w:val="65"/>
        </w:numPr>
        <w:rPr>
          <w:rFonts w:eastAsia="Arial"/>
          <w:i/>
          <w:iCs/>
          <w:color w:val="000000"/>
        </w:rPr>
      </w:pPr>
      <w:r w:rsidRPr="0072423F">
        <w:rPr>
          <w:rFonts w:eastAsia="Arial"/>
          <w:i/>
          <w:iCs/>
          <w:color w:val="000000"/>
        </w:rPr>
        <w:t>Dauer vorhergehender Arbeitslosigkeit </w:t>
      </w:r>
    </w:p>
    <w:p w14:paraId="14F94439" w14:textId="77777777" w:rsidR="00D149BF" w:rsidRPr="0072423F" w:rsidRDefault="00D149BF" w:rsidP="00D149BF">
      <w:pPr>
        <w:numPr>
          <w:ilvl w:val="0"/>
          <w:numId w:val="65"/>
        </w:numPr>
        <w:rPr>
          <w:rFonts w:eastAsia="Arial"/>
          <w:i/>
          <w:iCs/>
          <w:color w:val="000000"/>
        </w:rPr>
      </w:pPr>
      <w:r w:rsidRPr="0072423F">
        <w:rPr>
          <w:rFonts w:eastAsia="Arial"/>
          <w:i/>
          <w:iCs/>
          <w:color w:val="000000"/>
        </w:rPr>
        <w:t>Wiedereingliederung Langzeiterkrankter </w:t>
      </w:r>
    </w:p>
    <w:p w14:paraId="39BAEE4A" w14:textId="77777777" w:rsidR="00D149BF" w:rsidRPr="0072423F" w:rsidRDefault="00D149BF" w:rsidP="00D149BF">
      <w:pPr>
        <w:numPr>
          <w:ilvl w:val="0"/>
          <w:numId w:val="65"/>
        </w:numPr>
        <w:rPr>
          <w:rFonts w:eastAsia="Arial"/>
          <w:i/>
          <w:iCs/>
          <w:color w:val="000000"/>
        </w:rPr>
      </w:pPr>
      <w:r w:rsidRPr="0072423F">
        <w:rPr>
          <w:rFonts w:eastAsia="Arial"/>
          <w:i/>
          <w:iCs/>
          <w:color w:val="000000"/>
        </w:rPr>
        <w:t>Familienstand/Unterhaltsverpflichtungen </w:t>
      </w:r>
    </w:p>
    <w:p w14:paraId="53544D78" w14:textId="77777777" w:rsidR="00D149BF" w:rsidRPr="0072423F" w:rsidRDefault="00D149BF" w:rsidP="00D149BF">
      <w:pPr>
        <w:spacing w:before="220" w:after="220"/>
        <w:rPr>
          <w:rFonts w:ascii="Arial" w:eastAsia="Arial" w:hAnsi="Arial" w:cs="Arial"/>
          <w:color w:val="000000"/>
          <w:sz w:val="22"/>
          <w:szCs w:val="22"/>
        </w:rPr>
      </w:pPr>
    </w:p>
    <w:p w14:paraId="642CE476" w14:textId="77777777" w:rsidR="00D149BF" w:rsidRPr="0072423F" w:rsidRDefault="00D149BF" w:rsidP="00D149BF">
      <w:pPr>
        <w:suppressAutoHyphens/>
        <w:jc w:val="both"/>
        <w:rPr>
          <w:b/>
          <w:i/>
          <w:iCs/>
          <w:sz w:val="22"/>
          <w:szCs w:val="22"/>
        </w:rPr>
      </w:pPr>
      <w:r w:rsidRPr="0072423F">
        <w:rPr>
          <w:b/>
          <w:i/>
          <w:iCs/>
          <w:sz w:val="22"/>
          <w:szCs w:val="22"/>
        </w:rPr>
        <w:t>§ 5 Laufzeit und Kündigung</w:t>
      </w:r>
    </w:p>
    <w:p w14:paraId="294563FA" w14:textId="77777777" w:rsidR="00D149BF" w:rsidRPr="0072423F" w:rsidRDefault="00D149BF" w:rsidP="00D149BF">
      <w:pPr>
        <w:suppressAutoHyphens/>
        <w:jc w:val="both"/>
        <w:rPr>
          <w:b/>
          <w:i/>
          <w:iCs/>
          <w:sz w:val="22"/>
          <w:szCs w:val="22"/>
        </w:rPr>
      </w:pPr>
      <w:r w:rsidRPr="0072423F">
        <w:rPr>
          <w:rFonts w:eastAsia="Arial"/>
          <w:i/>
          <w:iCs/>
          <w:color w:val="000000"/>
          <w:sz w:val="22"/>
          <w:szCs w:val="22"/>
        </w:rPr>
        <w:t>Die vorliegende Dienstvereinbarung tritt am ... in Kraft. Sie kann mit einer Frist von zwei Monaten, frühesten jedoch zum ... gekündigt werden.</w:t>
      </w:r>
    </w:p>
    <w:p w14:paraId="661930E1" w14:textId="77777777" w:rsidR="00D149BF" w:rsidRPr="0072423F" w:rsidRDefault="00D149BF" w:rsidP="00D149BF">
      <w:pPr>
        <w:spacing w:before="220" w:after="220"/>
        <w:rPr>
          <w:i/>
          <w:iCs/>
          <w:sz w:val="22"/>
          <w:szCs w:val="22"/>
        </w:rPr>
      </w:pPr>
      <w:r w:rsidRPr="0072423F">
        <w:rPr>
          <w:rFonts w:eastAsia="Arial"/>
          <w:i/>
          <w:iCs/>
          <w:color w:val="000000"/>
          <w:sz w:val="22"/>
          <w:szCs w:val="22"/>
        </w:rPr>
        <w:t>..., den ...</w:t>
      </w:r>
    </w:p>
    <w:p w14:paraId="6F751761" w14:textId="77777777" w:rsidR="00D149BF" w:rsidRPr="0072423F" w:rsidRDefault="00D149BF" w:rsidP="00D149BF">
      <w:pPr>
        <w:spacing w:before="220" w:after="220"/>
        <w:rPr>
          <w:rFonts w:eastAsia="Arial"/>
          <w:i/>
          <w:iCs/>
          <w:color w:val="000000"/>
          <w:sz w:val="22"/>
          <w:szCs w:val="22"/>
        </w:rPr>
      </w:pPr>
    </w:p>
    <w:p w14:paraId="7A0ED6CD" w14:textId="77777777" w:rsidR="00D149BF" w:rsidRPr="0072423F" w:rsidRDefault="00D149BF" w:rsidP="00D149BF">
      <w:pPr>
        <w:spacing w:before="220" w:after="220"/>
        <w:rPr>
          <w:i/>
          <w:iCs/>
          <w:sz w:val="22"/>
          <w:szCs w:val="22"/>
        </w:rPr>
      </w:pPr>
      <w:r w:rsidRPr="0072423F">
        <w:rPr>
          <w:rFonts w:eastAsia="Arial"/>
          <w:i/>
          <w:iCs/>
          <w:color w:val="000000"/>
          <w:sz w:val="22"/>
          <w:szCs w:val="22"/>
        </w:rPr>
        <w:t>Dienststellenleitung</w:t>
      </w:r>
      <w:r w:rsidRPr="0072423F">
        <w:rPr>
          <w:rFonts w:eastAsia="Arial"/>
          <w:i/>
          <w:iCs/>
          <w:color w:val="000000"/>
          <w:sz w:val="22"/>
          <w:szCs w:val="22"/>
        </w:rPr>
        <w:tab/>
      </w:r>
      <w:r w:rsidRPr="0072423F">
        <w:rPr>
          <w:rFonts w:eastAsia="Arial"/>
          <w:i/>
          <w:iCs/>
          <w:color w:val="000000"/>
          <w:sz w:val="22"/>
          <w:szCs w:val="22"/>
        </w:rPr>
        <w:tab/>
      </w:r>
      <w:r w:rsidRPr="0072423F">
        <w:rPr>
          <w:rFonts w:eastAsia="Arial"/>
          <w:i/>
          <w:iCs/>
          <w:color w:val="000000"/>
          <w:sz w:val="22"/>
          <w:szCs w:val="22"/>
        </w:rPr>
        <w:tab/>
      </w:r>
      <w:r w:rsidRPr="0072423F">
        <w:rPr>
          <w:rFonts w:eastAsia="Arial"/>
          <w:i/>
          <w:iCs/>
          <w:color w:val="000000"/>
          <w:sz w:val="22"/>
          <w:szCs w:val="22"/>
        </w:rPr>
        <w:tab/>
      </w:r>
      <w:r w:rsidRPr="0072423F">
        <w:rPr>
          <w:rFonts w:eastAsia="Arial"/>
          <w:i/>
          <w:iCs/>
          <w:color w:val="000000"/>
          <w:sz w:val="22"/>
          <w:szCs w:val="22"/>
        </w:rPr>
        <w:tab/>
        <w:t>Personalratsvorsitzende(r)</w:t>
      </w:r>
    </w:p>
    <w:p w14:paraId="26536C56" w14:textId="77777777" w:rsidR="00D149BF" w:rsidRPr="0072423F" w:rsidRDefault="00D149BF" w:rsidP="00D149BF">
      <w:pPr>
        <w:widowControl w:val="0"/>
        <w:autoSpaceDE w:val="0"/>
        <w:autoSpaceDN w:val="0"/>
        <w:adjustRightInd w:val="0"/>
        <w:jc w:val="both"/>
        <w:rPr>
          <w:sz w:val="22"/>
          <w:szCs w:val="22"/>
          <w:highlight w:val="yellow"/>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ED9A3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D86EFC">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F0162C">
        <w:rPr>
          <w:rFonts w:ascii="Arial" w:eastAsia="Times New Roman" w:hAnsi="Arial" w:cs="Arial"/>
          <w:color w:val="868686"/>
          <w:sz w:val="13"/>
          <w:szCs w:val="13"/>
          <w:lang w:eastAsia="de-DE"/>
        </w:rPr>
        <w:t>4</w:t>
      </w:r>
    </w:p>
    <w:sectPr w:rsidR="006C2A68" w:rsidRPr="00BF7674" w:rsidSect="001B274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EDAF" w14:textId="77777777" w:rsidR="001B2746" w:rsidRDefault="001B2746" w:rsidP="00BF7674">
      <w:r>
        <w:separator/>
      </w:r>
    </w:p>
  </w:endnote>
  <w:endnote w:type="continuationSeparator" w:id="0">
    <w:p w14:paraId="7CAA9E7A" w14:textId="77777777" w:rsidR="001B2746" w:rsidRDefault="001B274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9A3" w14:textId="77777777" w:rsidR="001B2746" w:rsidRDefault="001B2746" w:rsidP="00BF7674">
      <w:r>
        <w:separator/>
      </w:r>
    </w:p>
  </w:footnote>
  <w:footnote w:type="continuationSeparator" w:id="0">
    <w:p w14:paraId="2505DB9F" w14:textId="77777777" w:rsidR="001B2746" w:rsidRDefault="001B274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D75CAF"/>
    <w:multiLevelType w:val="hybridMultilevel"/>
    <w:tmpl w:val="0478CD40"/>
    <w:numStyleLink w:val="ImportierterStil6"/>
  </w:abstractNum>
  <w:abstractNum w:abstractNumId="44"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5F6101"/>
    <w:multiLevelType w:val="hybridMultilevel"/>
    <w:tmpl w:val="A4189F16"/>
    <w:numStyleLink w:val="ImportierterStil5"/>
  </w:abstractNum>
  <w:abstractNum w:abstractNumId="80"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1"/>
  </w:num>
  <w:num w:numId="2" w16cid:durableId="573013156">
    <w:abstractNumId w:val="70"/>
  </w:num>
  <w:num w:numId="3" w16cid:durableId="1779830718">
    <w:abstractNumId w:val="23"/>
  </w:num>
  <w:num w:numId="4" w16cid:durableId="725178237">
    <w:abstractNumId w:val="61"/>
  </w:num>
  <w:num w:numId="5" w16cid:durableId="220294192">
    <w:abstractNumId w:val="75"/>
  </w:num>
  <w:num w:numId="6" w16cid:durableId="930698965">
    <w:abstractNumId w:val="76"/>
  </w:num>
  <w:num w:numId="7" w16cid:durableId="1217887320">
    <w:abstractNumId w:val="82"/>
  </w:num>
  <w:num w:numId="8" w16cid:durableId="1581284903">
    <w:abstractNumId w:val="69"/>
  </w:num>
  <w:num w:numId="9" w16cid:durableId="2043164235">
    <w:abstractNumId w:val="67"/>
  </w:num>
  <w:num w:numId="10" w16cid:durableId="359477797">
    <w:abstractNumId w:val="36"/>
  </w:num>
  <w:num w:numId="11" w16cid:durableId="2118863191">
    <w:abstractNumId w:val="68"/>
  </w:num>
  <w:num w:numId="12" w16cid:durableId="1105073630">
    <w:abstractNumId w:val="27"/>
  </w:num>
  <w:num w:numId="13" w16cid:durableId="501816211">
    <w:abstractNumId w:val="9"/>
  </w:num>
  <w:num w:numId="14" w16cid:durableId="2087798823">
    <w:abstractNumId w:val="44"/>
  </w:num>
  <w:num w:numId="15" w16cid:durableId="1222252971">
    <w:abstractNumId w:val="19"/>
  </w:num>
  <w:num w:numId="16" w16cid:durableId="1880429248">
    <w:abstractNumId w:val="58"/>
  </w:num>
  <w:num w:numId="17" w16cid:durableId="2064789847">
    <w:abstractNumId w:val="2"/>
  </w:num>
  <w:num w:numId="18" w16cid:durableId="1674608018">
    <w:abstractNumId w:val="48"/>
  </w:num>
  <w:num w:numId="19" w16cid:durableId="1719551836">
    <w:abstractNumId w:val="55"/>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7"/>
  </w:num>
  <w:num w:numId="28" w16cid:durableId="1697072466">
    <w:abstractNumId w:val="32"/>
  </w:num>
  <w:num w:numId="29" w16cid:durableId="630015363">
    <w:abstractNumId w:val="34"/>
  </w:num>
  <w:num w:numId="30" w16cid:durableId="1777211645">
    <w:abstractNumId w:val="41"/>
  </w:num>
  <w:num w:numId="31" w16cid:durableId="1223832647">
    <w:abstractNumId w:val="62"/>
  </w:num>
  <w:num w:numId="32" w16cid:durableId="1128670099">
    <w:abstractNumId w:val="71"/>
  </w:num>
  <w:num w:numId="33" w16cid:durableId="1417821402">
    <w:abstractNumId w:val="30"/>
  </w:num>
  <w:num w:numId="34" w16cid:durableId="1393113635">
    <w:abstractNumId w:val="64"/>
  </w:num>
  <w:num w:numId="35" w16cid:durableId="919750748">
    <w:abstractNumId w:val="45"/>
  </w:num>
  <w:num w:numId="36" w16cid:durableId="430861448">
    <w:abstractNumId w:val="78"/>
  </w:num>
  <w:num w:numId="37" w16cid:durableId="1799226588">
    <w:abstractNumId w:val="78"/>
  </w:num>
  <w:num w:numId="38" w16cid:durableId="1329752621">
    <w:abstractNumId w:val="56"/>
  </w:num>
  <w:num w:numId="39" w16cid:durableId="621425610">
    <w:abstractNumId w:val="50"/>
  </w:num>
  <w:num w:numId="40" w16cid:durableId="2028360859">
    <w:abstractNumId w:val="89"/>
  </w:num>
  <w:num w:numId="41" w16cid:durableId="1736853224">
    <w:abstractNumId w:val="51"/>
  </w:num>
  <w:num w:numId="42" w16cid:durableId="78332183">
    <w:abstractNumId w:val="37"/>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4"/>
  </w:num>
  <w:num w:numId="48" w16cid:durableId="446312732">
    <w:abstractNumId w:val="66"/>
  </w:num>
  <w:num w:numId="49" w16cid:durableId="39791684">
    <w:abstractNumId w:val="52"/>
  </w:num>
  <w:num w:numId="50" w16cid:durableId="117527703">
    <w:abstractNumId w:val="65"/>
  </w:num>
  <w:num w:numId="51" w16cid:durableId="1617131525">
    <w:abstractNumId w:val="60"/>
  </w:num>
  <w:num w:numId="52" w16cid:durableId="372117226">
    <w:abstractNumId w:val="29"/>
  </w:num>
  <w:num w:numId="53" w16cid:durableId="1680042876">
    <w:abstractNumId w:val="11"/>
  </w:num>
  <w:num w:numId="54" w16cid:durableId="723678726">
    <w:abstractNumId w:val="35"/>
  </w:num>
  <w:num w:numId="55" w16cid:durableId="591357925">
    <w:abstractNumId w:val="3"/>
  </w:num>
  <w:num w:numId="56" w16cid:durableId="1969430323">
    <w:abstractNumId w:val="73"/>
  </w:num>
  <w:num w:numId="57" w16cid:durableId="1489974231">
    <w:abstractNumId w:val="15"/>
  </w:num>
  <w:num w:numId="58" w16cid:durableId="1856379896">
    <w:abstractNumId w:val="79"/>
  </w:num>
  <w:num w:numId="59" w16cid:durableId="578757115">
    <w:abstractNumId w:val="77"/>
  </w:num>
  <w:num w:numId="60" w16cid:durableId="1311862238">
    <w:abstractNumId w:val="43"/>
  </w:num>
  <w:num w:numId="61" w16cid:durableId="722682007">
    <w:abstractNumId w:val="12"/>
  </w:num>
  <w:num w:numId="62" w16cid:durableId="333072725">
    <w:abstractNumId w:val="1"/>
  </w:num>
  <w:num w:numId="63" w16cid:durableId="1734543552">
    <w:abstractNumId w:val="74"/>
  </w:num>
  <w:num w:numId="64" w16cid:durableId="1591967561">
    <w:abstractNumId w:val="86"/>
  </w:num>
  <w:num w:numId="65" w16cid:durableId="870924365">
    <w:abstractNumId w:val="63"/>
  </w:num>
  <w:num w:numId="66" w16cid:durableId="111874184">
    <w:abstractNumId w:val="39"/>
  </w:num>
  <w:num w:numId="67" w16cid:durableId="522091915">
    <w:abstractNumId w:val="57"/>
  </w:num>
  <w:num w:numId="68" w16cid:durableId="182285874">
    <w:abstractNumId w:val="42"/>
  </w:num>
  <w:num w:numId="69" w16cid:durableId="807434139">
    <w:abstractNumId w:val="20"/>
  </w:num>
  <w:num w:numId="70" w16cid:durableId="170728802">
    <w:abstractNumId w:val="16"/>
  </w:num>
  <w:num w:numId="71" w16cid:durableId="2108965614">
    <w:abstractNumId w:val="6"/>
  </w:num>
  <w:num w:numId="72" w16cid:durableId="1723167673">
    <w:abstractNumId w:val="49"/>
  </w:num>
  <w:num w:numId="73" w16cid:durableId="1451439752">
    <w:abstractNumId w:val="84"/>
  </w:num>
  <w:num w:numId="74" w16cid:durableId="1810198895">
    <w:abstractNumId w:val="46"/>
  </w:num>
  <w:num w:numId="75" w16cid:durableId="237327885">
    <w:abstractNumId w:val="25"/>
  </w:num>
  <w:num w:numId="76" w16cid:durableId="1974362302">
    <w:abstractNumId w:val="8"/>
  </w:num>
  <w:num w:numId="77" w16cid:durableId="626159937">
    <w:abstractNumId w:val="83"/>
  </w:num>
  <w:num w:numId="78" w16cid:durableId="688457283">
    <w:abstractNumId w:val="24"/>
  </w:num>
  <w:num w:numId="79" w16cid:durableId="1201741568">
    <w:abstractNumId w:val="88"/>
  </w:num>
  <w:num w:numId="80" w16cid:durableId="494148245">
    <w:abstractNumId w:val="72"/>
  </w:num>
  <w:num w:numId="81" w16cid:durableId="1313753577">
    <w:abstractNumId w:val="80"/>
  </w:num>
  <w:num w:numId="82" w16cid:durableId="1121344989">
    <w:abstractNumId w:val="53"/>
  </w:num>
  <w:num w:numId="83" w16cid:durableId="802118184">
    <w:abstractNumId w:val="59"/>
  </w:num>
  <w:num w:numId="84" w16cid:durableId="1131678313">
    <w:abstractNumId w:val="26"/>
  </w:num>
  <w:num w:numId="85" w16cid:durableId="1108696075">
    <w:abstractNumId w:val="14"/>
  </w:num>
  <w:num w:numId="86" w16cid:durableId="9455054">
    <w:abstractNumId w:val="87"/>
  </w:num>
  <w:num w:numId="87" w16cid:durableId="356853684">
    <w:abstractNumId w:val="38"/>
  </w:num>
  <w:num w:numId="88" w16cid:durableId="1217668188">
    <w:abstractNumId w:val="85"/>
  </w:num>
  <w:num w:numId="89" w16cid:durableId="1789351534">
    <w:abstractNumId w:val="31"/>
  </w:num>
  <w:num w:numId="90" w16cid:durableId="1320891096">
    <w:abstractNumId w:val="40"/>
  </w:num>
  <w:num w:numId="91" w16cid:durableId="5791012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2746"/>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2024-01-18T12:16:00Z</dcterms:created>
  <dcterms:modified xsi:type="dcterms:W3CDTF">2024-01-18T12:16:00Z</dcterms:modified>
</cp:coreProperties>
</file>