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AF49" w14:textId="22EC1AE2" w:rsidR="00AA7BF1" w:rsidRPr="00AA7BF1" w:rsidRDefault="00AA7BF1" w:rsidP="00AA7BF1">
      <w:pPr>
        <w:pStyle w:val="PNLSubhead"/>
        <w:outlineLvl w:val="0"/>
      </w:pPr>
      <w:r w:rsidRPr="00AA7BF1">
        <w:t>Muster: So halten Sie Drogen aus Ihre</w:t>
      </w:r>
      <w:r>
        <w:t xml:space="preserve">r Dienststelle </w:t>
      </w:r>
      <w:r w:rsidRPr="00AA7BF1">
        <w:t>heraus</w:t>
      </w:r>
    </w:p>
    <w:p w14:paraId="46556B13" w14:textId="77777777" w:rsidR="00AA7BF1" w:rsidRPr="00AA7BF1" w:rsidRDefault="00AA7BF1" w:rsidP="00AA7BF1">
      <w:pPr>
        <w:pStyle w:val="TextA"/>
        <w:jc w:val="both"/>
        <w:rPr>
          <w:sz w:val="22"/>
          <w:szCs w:val="22"/>
          <w:shd w:val="clear" w:color="auto" w:fill="FFFF00"/>
        </w:rPr>
      </w:pPr>
    </w:p>
    <w:p w14:paraId="55F9836E" w14:textId="1F63ED17" w:rsidR="00AA7BF1" w:rsidRPr="00AA7BF1" w:rsidRDefault="00AA7BF1" w:rsidP="00AA7BF1">
      <w:pPr>
        <w:pStyle w:val="TextA"/>
        <w:jc w:val="center"/>
        <w:rPr>
          <w:b/>
          <w:bCs/>
          <w:i/>
          <w:iCs/>
          <w:sz w:val="22"/>
          <w:szCs w:val="22"/>
        </w:rPr>
      </w:pPr>
      <w:r>
        <w:rPr>
          <w:b/>
          <w:bCs/>
          <w:i/>
          <w:iCs/>
          <w:sz w:val="22"/>
          <w:szCs w:val="22"/>
        </w:rPr>
        <w:t>Dienst</w:t>
      </w:r>
      <w:r w:rsidRPr="00AA7BF1">
        <w:rPr>
          <w:b/>
          <w:bCs/>
          <w:i/>
          <w:iCs/>
          <w:sz w:val="22"/>
          <w:szCs w:val="22"/>
        </w:rPr>
        <w:t>vereinbarung</w:t>
      </w:r>
    </w:p>
    <w:p w14:paraId="6033F065" w14:textId="77777777" w:rsidR="00AA7BF1" w:rsidRPr="00AA7BF1" w:rsidRDefault="00AA7BF1" w:rsidP="00AA7BF1">
      <w:pPr>
        <w:pStyle w:val="TextA"/>
        <w:jc w:val="center"/>
        <w:rPr>
          <w:b/>
          <w:bCs/>
          <w:i/>
          <w:iCs/>
          <w:sz w:val="22"/>
          <w:szCs w:val="22"/>
        </w:rPr>
      </w:pPr>
      <w:r w:rsidRPr="00AA7BF1">
        <w:rPr>
          <w:b/>
          <w:bCs/>
          <w:i/>
          <w:iCs/>
          <w:sz w:val="22"/>
          <w:szCs w:val="22"/>
        </w:rPr>
        <w:t>zwischen</w:t>
      </w:r>
    </w:p>
    <w:p w14:paraId="439A3FF0" w14:textId="23EA9468" w:rsidR="00AA7BF1" w:rsidRPr="00AA7BF1" w:rsidRDefault="00AA7BF1" w:rsidP="00AA7BF1">
      <w:pPr>
        <w:pStyle w:val="TextA"/>
        <w:jc w:val="center"/>
        <w:rPr>
          <w:b/>
          <w:bCs/>
          <w:i/>
          <w:iCs/>
          <w:sz w:val="22"/>
          <w:szCs w:val="22"/>
        </w:rPr>
      </w:pPr>
      <w:r w:rsidRPr="00AA7BF1">
        <w:rPr>
          <w:b/>
          <w:bCs/>
          <w:i/>
          <w:iCs/>
          <w:sz w:val="22"/>
          <w:szCs w:val="22"/>
        </w:rPr>
        <w:t xml:space="preserve">der </w:t>
      </w:r>
      <w:r>
        <w:rPr>
          <w:b/>
          <w:bCs/>
          <w:i/>
          <w:iCs/>
          <w:sz w:val="22"/>
          <w:szCs w:val="22"/>
        </w:rPr>
        <w:t>Dienststelle</w:t>
      </w:r>
      <w:r w:rsidRPr="00AA7BF1">
        <w:rPr>
          <w:b/>
          <w:bCs/>
          <w:i/>
          <w:iCs/>
          <w:sz w:val="22"/>
          <w:szCs w:val="22"/>
        </w:rPr>
        <w:t xml:space="preserve"> .....................</w:t>
      </w:r>
    </w:p>
    <w:p w14:paraId="0F93AD96" w14:textId="33C6AD06" w:rsidR="00AA7BF1" w:rsidRPr="00AA7BF1" w:rsidRDefault="00AA7BF1" w:rsidP="00AA7BF1">
      <w:pPr>
        <w:pStyle w:val="TextA"/>
        <w:jc w:val="center"/>
        <w:rPr>
          <w:b/>
          <w:bCs/>
          <w:i/>
          <w:iCs/>
          <w:sz w:val="22"/>
          <w:szCs w:val="22"/>
        </w:rPr>
      </w:pPr>
      <w:r w:rsidRPr="00AA7BF1">
        <w:rPr>
          <w:b/>
          <w:bCs/>
          <w:i/>
          <w:iCs/>
          <w:sz w:val="22"/>
          <w:szCs w:val="22"/>
        </w:rPr>
        <w:t xml:space="preserve">vertreten durch </w:t>
      </w:r>
      <w:r>
        <w:rPr>
          <w:b/>
          <w:bCs/>
          <w:i/>
          <w:iCs/>
          <w:sz w:val="22"/>
          <w:szCs w:val="22"/>
        </w:rPr>
        <w:t>die Dienststellenleitung</w:t>
      </w:r>
    </w:p>
    <w:p w14:paraId="2F770D57" w14:textId="77777777" w:rsidR="00AA7BF1" w:rsidRPr="00AA7BF1" w:rsidRDefault="00AA7BF1" w:rsidP="00AA7BF1">
      <w:pPr>
        <w:pStyle w:val="TextA"/>
        <w:jc w:val="center"/>
        <w:rPr>
          <w:b/>
          <w:bCs/>
          <w:i/>
          <w:iCs/>
          <w:sz w:val="22"/>
          <w:szCs w:val="22"/>
        </w:rPr>
      </w:pPr>
    </w:p>
    <w:p w14:paraId="05477EC7" w14:textId="77777777" w:rsidR="00AA7BF1" w:rsidRPr="00AA7BF1" w:rsidRDefault="00AA7BF1" w:rsidP="00AA7BF1">
      <w:pPr>
        <w:pStyle w:val="TextA"/>
        <w:jc w:val="center"/>
        <w:rPr>
          <w:b/>
          <w:bCs/>
          <w:i/>
          <w:iCs/>
          <w:sz w:val="22"/>
          <w:szCs w:val="22"/>
        </w:rPr>
      </w:pPr>
      <w:r w:rsidRPr="00AA7BF1">
        <w:rPr>
          <w:b/>
          <w:bCs/>
          <w:i/>
          <w:iCs/>
          <w:sz w:val="22"/>
          <w:szCs w:val="22"/>
        </w:rPr>
        <w:t>und</w:t>
      </w:r>
    </w:p>
    <w:p w14:paraId="22D7464D" w14:textId="2EB634B1" w:rsidR="00AA7BF1" w:rsidRPr="00AA7BF1" w:rsidRDefault="00AA7BF1" w:rsidP="00AA7BF1">
      <w:pPr>
        <w:pStyle w:val="TextA"/>
        <w:jc w:val="center"/>
        <w:rPr>
          <w:b/>
          <w:bCs/>
          <w:i/>
          <w:iCs/>
          <w:sz w:val="22"/>
          <w:szCs w:val="22"/>
        </w:rPr>
      </w:pPr>
      <w:r w:rsidRPr="00AA7BF1">
        <w:rPr>
          <w:b/>
          <w:bCs/>
          <w:i/>
          <w:iCs/>
          <w:sz w:val="22"/>
          <w:szCs w:val="22"/>
        </w:rPr>
        <w:t xml:space="preserve">dem </w:t>
      </w:r>
      <w:r>
        <w:rPr>
          <w:b/>
          <w:bCs/>
          <w:i/>
          <w:iCs/>
          <w:sz w:val="22"/>
          <w:szCs w:val="22"/>
        </w:rPr>
        <w:t>Personal</w:t>
      </w:r>
      <w:r w:rsidRPr="00AA7BF1">
        <w:rPr>
          <w:b/>
          <w:bCs/>
          <w:i/>
          <w:iCs/>
          <w:sz w:val="22"/>
          <w:szCs w:val="22"/>
        </w:rPr>
        <w:t>rat ...................</w:t>
      </w:r>
    </w:p>
    <w:p w14:paraId="37B0BFAE" w14:textId="77777777" w:rsidR="00AA7BF1" w:rsidRPr="00AA7BF1" w:rsidRDefault="00AA7BF1" w:rsidP="00AA7BF1">
      <w:pPr>
        <w:pStyle w:val="TextA"/>
        <w:jc w:val="center"/>
        <w:rPr>
          <w:b/>
          <w:bCs/>
          <w:i/>
          <w:iCs/>
          <w:sz w:val="22"/>
          <w:szCs w:val="22"/>
        </w:rPr>
      </w:pPr>
      <w:r w:rsidRPr="00AA7BF1">
        <w:rPr>
          <w:b/>
          <w:bCs/>
          <w:i/>
          <w:iCs/>
          <w:sz w:val="22"/>
          <w:szCs w:val="22"/>
        </w:rPr>
        <w:t>vertreten durch den/die Vorsitzende/n</w:t>
      </w:r>
    </w:p>
    <w:p w14:paraId="12B64989" w14:textId="77777777" w:rsidR="00AA7BF1" w:rsidRPr="00AA7BF1" w:rsidRDefault="00AA7BF1" w:rsidP="00AA7BF1">
      <w:pPr>
        <w:pStyle w:val="TextA"/>
        <w:jc w:val="both"/>
        <w:rPr>
          <w:i/>
          <w:iCs/>
          <w:sz w:val="22"/>
          <w:szCs w:val="22"/>
        </w:rPr>
      </w:pPr>
    </w:p>
    <w:p w14:paraId="762FBFA5" w14:textId="77777777" w:rsidR="00AA7BF1" w:rsidRPr="00AA7BF1" w:rsidRDefault="00AA7BF1" w:rsidP="00AA7BF1">
      <w:pPr>
        <w:pStyle w:val="berschrift31"/>
        <w:rPr>
          <w:b w:val="0"/>
          <w:bCs w:val="0"/>
          <w:i/>
          <w:iCs/>
        </w:rPr>
      </w:pPr>
      <w:r w:rsidRPr="00AA7BF1">
        <w:rPr>
          <w:b w:val="0"/>
          <w:bCs w:val="0"/>
          <w:i/>
          <w:iCs/>
        </w:rPr>
        <w:t>zum betrieblichen Gesundheitsschutz</w:t>
      </w:r>
    </w:p>
    <w:p w14:paraId="20D80398" w14:textId="1DFE4189" w:rsidR="00AA7BF1" w:rsidRPr="00AA7BF1" w:rsidRDefault="00AA7BF1" w:rsidP="00AA7BF1">
      <w:pPr>
        <w:pStyle w:val="jm1a"/>
        <w:widowControl w:val="0"/>
        <w:rPr>
          <w:rFonts w:ascii="Times New Roman" w:hAnsi="Times New Roman"/>
          <w:i/>
          <w:iCs/>
          <w:sz w:val="22"/>
          <w:szCs w:val="22"/>
        </w:rPr>
      </w:pPr>
      <w:r w:rsidRPr="00AA7BF1">
        <w:rPr>
          <w:rFonts w:ascii="Times New Roman" w:hAnsi="Times New Roman"/>
          <w:b/>
          <w:bCs/>
          <w:i/>
          <w:iCs/>
          <w:sz w:val="22"/>
          <w:szCs w:val="22"/>
        </w:rPr>
        <w:t>Vorbemerkung</w:t>
      </w:r>
      <w:r w:rsidRPr="00AA7BF1">
        <w:rPr>
          <w:rFonts w:ascii="Times New Roman" w:hAnsi="Times New Roman"/>
          <w:i/>
          <w:iCs/>
          <w:sz w:val="22"/>
          <w:szCs w:val="22"/>
        </w:rPr>
        <w:t>: Aus Gründen der besseren Lesbarkeit wurde die männliche Sprachform bei der Formulierung dieser</w:t>
      </w:r>
      <w:r>
        <w:rPr>
          <w:rFonts w:ascii="Times New Roman" w:hAnsi="Times New Roman"/>
          <w:i/>
          <w:iCs/>
          <w:sz w:val="22"/>
          <w:szCs w:val="22"/>
        </w:rPr>
        <w:t xml:space="preserve"> </w:t>
      </w:r>
      <w:proofErr w:type="spellStart"/>
      <w:r>
        <w:rPr>
          <w:rFonts w:ascii="Times New Roman" w:hAnsi="Times New Roman"/>
          <w:i/>
          <w:iCs/>
          <w:sz w:val="22"/>
          <w:szCs w:val="22"/>
        </w:rPr>
        <w:t>Dienst</w:t>
      </w:r>
      <w:r w:rsidRPr="00AA7BF1">
        <w:rPr>
          <w:rFonts w:ascii="Times New Roman" w:hAnsi="Times New Roman"/>
          <w:i/>
          <w:iCs/>
          <w:sz w:val="22"/>
          <w:szCs w:val="22"/>
        </w:rPr>
        <w:t xml:space="preserve">vereinbarung </w:t>
      </w:r>
      <w:proofErr w:type="spellEnd"/>
      <w:r w:rsidRPr="00AA7BF1">
        <w:rPr>
          <w:rFonts w:ascii="Times New Roman" w:hAnsi="Times New Roman"/>
          <w:i/>
          <w:iCs/>
          <w:sz w:val="22"/>
          <w:szCs w:val="22"/>
        </w:rPr>
        <w:t xml:space="preserve">gewählt. </w:t>
      </w:r>
      <w:r>
        <w:rPr>
          <w:rFonts w:ascii="Times New Roman" w:hAnsi="Times New Roman"/>
          <w:i/>
          <w:iCs/>
          <w:sz w:val="22"/>
          <w:szCs w:val="22"/>
        </w:rPr>
        <w:t>Personal</w:t>
      </w:r>
      <w:r w:rsidRPr="00AA7BF1">
        <w:rPr>
          <w:rFonts w:ascii="Times New Roman" w:hAnsi="Times New Roman"/>
          <w:i/>
          <w:iCs/>
          <w:sz w:val="22"/>
          <w:szCs w:val="22"/>
        </w:rPr>
        <w:t xml:space="preserve">rat und </w:t>
      </w:r>
      <w:r>
        <w:rPr>
          <w:rFonts w:ascii="Times New Roman" w:hAnsi="Times New Roman"/>
          <w:i/>
          <w:iCs/>
          <w:sz w:val="22"/>
          <w:szCs w:val="22"/>
        </w:rPr>
        <w:t>Dienststelle</w:t>
      </w:r>
      <w:r w:rsidRPr="00AA7BF1">
        <w:rPr>
          <w:rFonts w:ascii="Times New Roman" w:hAnsi="Times New Roman"/>
          <w:i/>
          <w:iCs/>
          <w:sz w:val="22"/>
          <w:szCs w:val="22"/>
        </w:rPr>
        <w:t xml:space="preserve"> versichern, dass sie alle Arbeitnehmerinnen und Arbeitnehmer und andere Personen diskriminierungsfrei und gleichberechtigt behandeln werden.</w:t>
      </w:r>
    </w:p>
    <w:p w14:paraId="1A0EB237" w14:textId="77777777" w:rsidR="00AA7BF1" w:rsidRPr="00AA7BF1" w:rsidRDefault="00AA7BF1" w:rsidP="00AA7BF1">
      <w:pPr>
        <w:pStyle w:val="TextA"/>
        <w:suppressAutoHyphens/>
        <w:jc w:val="both"/>
        <w:rPr>
          <w:rFonts w:ascii="Calibri" w:eastAsia="Calibri" w:hAnsi="Calibri" w:cs="Calibri"/>
          <w:b/>
          <w:bCs/>
          <w:i/>
          <w:iCs/>
          <w:sz w:val="20"/>
          <w:szCs w:val="20"/>
        </w:rPr>
      </w:pPr>
    </w:p>
    <w:p w14:paraId="40D7B335" w14:textId="77777777" w:rsidR="00AA7BF1" w:rsidRPr="00AA7BF1" w:rsidRDefault="00AA7BF1" w:rsidP="00AA7BF1">
      <w:pPr>
        <w:pStyle w:val="TextA"/>
        <w:suppressAutoHyphens/>
        <w:jc w:val="both"/>
        <w:rPr>
          <w:b/>
          <w:bCs/>
          <w:i/>
          <w:iCs/>
          <w:sz w:val="22"/>
          <w:szCs w:val="22"/>
        </w:rPr>
      </w:pPr>
      <w:r w:rsidRPr="00AA7BF1">
        <w:rPr>
          <w:b/>
          <w:bCs/>
          <w:i/>
          <w:iCs/>
          <w:sz w:val="22"/>
          <w:szCs w:val="22"/>
        </w:rPr>
        <w:t>§ 1 Geltungsbereich</w:t>
      </w:r>
    </w:p>
    <w:p w14:paraId="2E02E02E" w14:textId="4D93FFF9" w:rsidR="00AA7BF1" w:rsidRPr="00AA7BF1" w:rsidRDefault="00AA7BF1" w:rsidP="00AA7BF1">
      <w:pPr>
        <w:pStyle w:val="TextA"/>
        <w:suppressAutoHyphens/>
        <w:jc w:val="both"/>
        <w:rPr>
          <w:i/>
          <w:iCs/>
          <w:sz w:val="22"/>
          <w:szCs w:val="22"/>
        </w:rPr>
      </w:pPr>
      <w:r w:rsidRPr="00AA7BF1">
        <w:rPr>
          <w:i/>
          <w:iCs/>
          <w:sz w:val="22"/>
          <w:szCs w:val="22"/>
        </w:rPr>
        <w:t xml:space="preserve">Diese </w:t>
      </w:r>
      <w:r>
        <w:rPr>
          <w:i/>
          <w:iCs/>
          <w:sz w:val="22"/>
          <w:szCs w:val="22"/>
        </w:rPr>
        <w:t>Dienst</w:t>
      </w:r>
      <w:r w:rsidRPr="00AA7BF1">
        <w:rPr>
          <w:i/>
          <w:iCs/>
          <w:sz w:val="22"/>
          <w:szCs w:val="22"/>
        </w:rPr>
        <w:t>vereinbarung gilt für alle Beschäftigten de</w:t>
      </w:r>
      <w:r>
        <w:rPr>
          <w:i/>
          <w:iCs/>
          <w:sz w:val="22"/>
          <w:szCs w:val="22"/>
        </w:rPr>
        <w:t>r Dienststelle</w:t>
      </w:r>
      <w:r w:rsidRPr="00AA7BF1">
        <w:rPr>
          <w:i/>
          <w:iCs/>
          <w:sz w:val="22"/>
          <w:szCs w:val="22"/>
        </w:rPr>
        <w:t xml:space="preserve">. </w:t>
      </w:r>
    </w:p>
    <w:p w14:paraId="3F5F1C14" w14:textId="77777777" w:rsidR="00AA7BF1" w:rsidRPr="00AA7BF1" w:rsidRDefault="00AA7BF1" w:rsidP="00AA7BF1">
      <w:pPr>
        <w:pStyle w:val="berschrift21"/>
        <w:shd w:val="clear" w:color="auto" w:fill="FFFFFF"/>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t>§ 2 Gebrauch von Suchtmitteln</w:t>
      </w:r>
    </w:p>
    <w:p w14:paraId="3EC4FD2A"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 xml:space="preserve">Im Hinblick auf den Konsum von Suchtmitteln bzw. Alkohol und Drogen gilt, dass sich Mitarbeiter durch den Konsum von Alkohol nicht in einen Zustand versetzen dürfen, der zur Gefährdung der eigenen Person oder von anderen führen kann und wonach Versicherte, die infolge des Alkoholkonsums oder anderer berauschender Mittel nicht mehr in der Lage sind, ihre Arbeit ohne Gefahr für sich oder andere auszuführen, mit Arbeiten beschäftigt werden dürfen. </w:t>
      </w:r>
    </w:p>
    <w:p w14:paraId="2630FC31"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Die Einnahme von Medikamenten sollte überdies nur in Absprache mit Ärzten erfolgen, da derartige Arzneimittel aufgrund ihrer stimmungsverändernden Substanzen, die Unfallgefahr erheblich erhöhen kann.</w:t>
      </w:r>
    </w:p>
    <w:p w14:paraId="4047A5AA"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Ferner besteht ein ausdrückliches Verbot im Hinblick auf den Konsum illegaler Drogen.</w:t>
      </w:r>
    </w:p>
    <w:p w14:paraId="17AB37A3" w14:textId="77777777" w:rsidR="00AA7BF1" w:rsidRPr="00AA7BF1" w:rsidRDefault="00AA7BF1" w:rsidP="00AA7BF1">
      <w:pPr>
        <w:pStyle w:val="berschrift21"/>
        <w:shd w:val="clear" w:color="auto" w:fill="FFFFFF"/>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t>§ 3 Ausschank von Alkohol – Ausgabe von Medikamenten</w:t>
      </w:r>
    </w:p>
    <w:p w14:paraId="1E8229A1" w14:textId="6ED957DB"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 xml:space="preserve">Die </w:t>
      </w:r>
      <w:r>
        <w:rPr>
          <w:i/>
          <w:iCs/>
          <w:sz w:val="22"/>
          <w:szCs w:val="22"/>
        </w:rPr>
        <w:t>Dienst</w:t>
      </w:r>
      <w:r w:rsidRPr="00AA7BF1">
        <w:rPr>
          <w:i/>
          <w:iCs/>
          <w:sz w:val="22"/>
          <w:szCs w:val="22"/>
        </w:rPr>
        <w:t>parteien haben sich gegen ein absolutes Alkoholverbot ausgesprochen, sind sich jedoch einig, dass Alkohol grundsätzlich als Genussmittel und nicht als alltägliches Konsummittel eingesetzt werden soll. Dies soll durch eine Veränderung der Trinkkultur erzielt werden. Der Ausschank von Alkohol soll dabei wie folgt geregelt werden:</w:t>
      </w:r>
    </w:p>
    <w:p w14:paraId="0283CEEC" w14:textId="77777777" w:rsidR="00AA7BF1" w:rsidRPr="00AA7BF1" w:rsidRDefault="00AA7BF1" w:rsidP="00AA7BF1">
      <w:pPr>
        <w:pStyle w:val="Listenabsatz"/>
        <w:numPr>
          <w:ilvl w:val="0"/>
          <w:numId w:val="58"/>
        </w:numPr>
        <w:pBdr>
          <w:top w:val="nil"/>
          <w:left w:val="nil"/>
          <w:bottom w:val="nil"/>
          <w:right w:val="nil"/>
          <w:between w:val="nil"/>
          <w:bar w:val="nil"/>
        </w:pBdr>
        <w:shd w:val="clear" w:color="auto" w:fill="FFFFFF"/>
        <w:spacing w:before="100" w:after="100"/>
        <w:contextualSpacing w:val="0"/>
        <w:jc w:val="both"/>
        <w:rPr>
          <w:i/>
          <w:iCs/>
          <w:sz w:val="22"/>
          <w:szCs w:val="22"/>
        </w:rPr>
      </w:pPr>
      <w:r w:rsidRPr="00AA7BF1">
        <w:rPr>
          <w:i/>
          <w:iCs/>
          <w:sz w:val="22"/>
          <w:szCs w:val="22"/>
        </w:rPr>
        <w:t>Der Ausschank von harten Spirituosen ist grundsätzlich untersagt.</w:t>
      </w:r>
    </w:p>
    <w:p w14:paraId="15A5E783" w14:textId="77777777" w:rsidR="00AA7BF1" w:rsidRPr="00AA7BF1" w:rsidRDefault="00AA7BF1" w:rsidP="00AA7BF1">
      <w:pPr>
        <w:pStyle w:val="Listenabsatz"/>
        <w:numPr>
          <w:ilvl w:val="0"/>
          <w:numId w:val="58"/>
        </w:numPr>
        <w:pBdr>
          <w:top w:val="nil"/>
          <w:left w:val="nil"/>
          <w:bottom w:val="nil"/>
          <w:right w:val="nil"/>
          <w:between w:val="nil"/>
          <w:bar w:val="nil"/>
        </w:pBdr>
        <w:shd w:val="clear" w:color="auto" w:fill="FFFFFF"/>
        <w:spacing w:before="100" w:after="100"/>
        <w:contextualSpacing w:val="0"/>
        <w:jc w:val="both"/>
        <w:rPr>
          <w:i/>
          <w:iCs/>
          <w:sz w:val="22"/>
          <w:szCs w:val="22"/>
        </w:rPr>
      </w:pPr>
      <w:r w:rsidRPr="00AA7BF1">
        <w:rPr>
          <w:i/>
          <w:iCs/>
          <w:sz w:val="22"/>
          <w:szCs w:val="22"/>
        </w:rPr>
        <w:t>Alkoholische Getränke dürfen nur zu Festen, wie beispielsweise Jubiläen oder Geburtstagen, mitgebracht werden</w:t>
      </w:r>
    </w:p>
    <w:p w14:paraId="18AF53C7" w14:textId="77777777" w:rsidR="00AA7BF1" w:rsidRPr="00AA7BF1" w:rsidRDefault="00AA7BF1" w:rsidP="00AA7BF1">
      <w:pPr>
        <w:pStyle w:val="berschrift21"/>
        <w:shd w:val="clear" w:color="auto" w:fill="FFFFFF"/>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t>§ 4 Aufklärung</w:t>
      </w:r>
    </w:p>
    <w:p w14:paraId="192DB2D7"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Die Beschäftigten sollen fortlaufend darüber aufgeklärt werden,</w:t>
      </w:r>
    </w:p>
    <w:p w14:paraId="0932A8C4"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 xml:space="preserve">dass </w:t>
      </w:r>
    </w:p>
    <w:p w14:paraId="778125B1" w14:textId="77777777" w:rsidR="00AA7BF1" w:rsidRPr="00AA7BF1" w:rsidRDefault="00AA7BF1" w:rsidP="00AA7BF1">
      <w:pPr>
        <w:pStyle w:val="StandardWeb"/>
        <w:numPr>
          <w:ilvl w:val="0"/>
          <w:numId w:val="60"/>
        </w:numPr>
        <w:pBdr>
          <w:top w:val="nil"/>
          <w:left w:val="nil"/>
          <w:bottom w:val="nil"/>
          <w:right w:val="nil"/>
          <w:between w:val="nil"/>
          <w:bar w:val="nil"/>
        </w:pBdr>
        <w:shd w:val="clear" w:color="auto" w:fill="FFFFFF"/>
        <w:spacing w:before="0" w:beforeAutospacing="0" w:after="0" w:afterAutospacing="0"/>
        <w:jc w:val="both"/>
        <w:rPr>
          <w:i/>
          <w:iCs/>
          <w:sz w:val="22"/>
          <w:szCs w:val="22"/>
        </w:rPr>
      </w:pPr>
      <w:r w:rsidRPr="00AA7BF1">
        <w:rPr>
          <w:i/>
          <w:iCs/>
          <w:sz w:val="22"/>
          <w:szCs w:val="22"/>
        </w:rPr>
        <w:lastRenderedPageBreak/>
        <w:t>Suchtmittel wie Alkohol, Cannabis, Medikamente mit stimmungsverändernden Substanzen und andere Drogen die Denk, Reaktions- und Leistungsfähigkeit beeinträchtigen können,</w:t>
      </w:r>
    </w:p>
    <w:p w14:paraId="308FE3E0" w14:textId="77777777" w:rsidR="00AA7BF1" w:rsidRPr="00AA7BF1" w:rsidRDefault="00AA7BF1" w:rsidP="00AA7BF1">
      <w:pPr>
        <w:pStyle w:val="StandardWeb"/>
        <w:numPr>
          <w:ilvl w:val="0"/>
          <w:numId w:val="60"/>
        </w:numPr>
        <w:pBdr>
          <w:top w:val="nil"/>
          <w:left w:val="nil"/>
          <w:bottom w:val="nil"/>
          <w:right w:val="nil"/>
          <w:between w:val="nil"/>
          <w:bar w:val="nil"/>
        </w:pBdr>
        <w:shd w:val="clear" w:color="auto" w:fill="FFFFFF"/>
        <w:spacing w:before="0" w:beforeAutospacing="0" w:after="0" w:afterAutospacing="0"/>
        <w:jc w:val="both"/>
        <w:rPr>
          <w:i/>
          <w:iCs/>
          <w:sz w:val="22"/>
          <w:szCs w:val="22"/>
        </w:rPr>
      </w:pPr>
      <w:r w:rsidRPr="00AA7BF1">
        <w:rPr>
          <w:i/>
          <w:iCs/>
          <w:sz w:val="22"/>
          <w:szCs w:val="22"/>
        </w:rPr>
        <w:t>durch Suchtmittel ihre eigene Sicherheit und das Wohlergehen anderer gefährden können,</w:t>
      </w:r>
    </w:p>
    <w:p w14:paraId="1B25C37F" w14:textId="230C517D" w:rsidR="00AA7BF1" w:rsidRPr="00AA7BF1" w:rsidRDefault="00AA7BF1" w:rsidP="00AA7BF1">
      <w:pPr>
        <w:pStyle w:val="StandardWeb"/>
        <w:numPr>
          <w:ilvl w:val="0"/>
          <w:numId w:val="60"/>
        </w:numPr>
        <w:pBdr>
          <w:top w:val="nil"/>
          <w:left w:val="nil"/>
          <w:bottom w:val="nil"/>
          <w:right w:val="nil"/>
          <w:between w:val="nil"/>
          <w:bar w:val="nil"/>
        </w:pBdr>
        <w:shd w:val="clear" w:color="auto" w:fill="FFFFFF"/>
        <w:spacing w:before="0" w:beforeAutospacing="0" w:after="0" w:afterAutospacing="0"/>
        <w:jc w:val="both"/>
        <w:rPr>
          <w:i/>
          <w:iCs/>
          <w:sz w:val="22"/>
          <w:szCs w:val="22"/>
        </w:rPr>
      </w:pPr>
      <w:r w:rsidRPr="00AA7BF1">
        <w:rPr>
          <w:i/>
          <w:iCs/>
          <w:sz w:val="22"/>
          <w:szCs w:val="22"/>
        </w:rPr>
        <w:t>der Missbrauch dieser Suchtmittel Abhängigkeitserkrankungen herbeiführen kann und darüber hinaus auch zur Entstehung von Volkskrankheiten, wie zum Beispiel Krebs oder Herz</w:t>
      </w:r>
      <w:r>
        <w:rPr>
          <w:i/>
          <w:iCs/>
          <w:sz w:val="22"/>
          <w:szCs w:val="22"/>
        </w:rPr>
        <w:t>-</w:t>
      </w:r>
      <w:r w:rsidRPr="00AA7BF1">
        <w:rPr>
          <w:i/>
          <w:iCs/>
          <w:sz w:val="22"/>
          <w:szCs w:val="22"/>
        </w:rPr>
        <w:t>Kreislauf-Erkrankungen führen kann und</w:t>
      </w:r>
    </w:p>
    <w:p w14:paraId="12C99EAE" w14:textId="77777777" w:rsidR="00AA7BF1" w:rsidRPr="00AA7BF1" w:rsidRDefault="00AA7BF1" w:rsidP="00AA7BF1">
      <w:pPr>
        <w:pStyle w:val="StandardWeb"/>
        <w:numPr>
          <w:ilvl w:val="0"/>
          <w:numId w:val="60"/>
        </w:numPr>
        <w:pBdr>
          <w:top w:val="nil"/>
          <w:left w:val="nil"/>
          <w:bottom w:val="nil"/>
          <w:right w:val="nil"/>
          <w:between w:val="nil"/>
          <w:bar w:val="nil"/>
        </w:pBdr>
        <w:shd w:val="clear" w:color="auto" w:fill="FFFFFF"/>
        <w:spacing w:before="0" w:beforeAutospacing="0" w:after="0" w:afterAutospacing="0"/>
        <w:jc w:val="both"/>
        <w:rPr>
          <w:i/>
          <w:iCs/>
          <w:sz w:val="22"/>
          <w:szCs w:val="22"/>
        </w:rPr>
      </w:pPr>
      <w:r w:rsidRPr="00AA7BF1">
        <w:rPr>
          <w:i/>
          <w:iCs/>
          <w:sz w:val="22"/>
          <w:szCs w:val="22"/>
        </w:rPr>
        <w:t xml:space="preserve">auch psychosoziale Krankheitserscheinungen mit Abhängigkeitscharakter, wie zum Beispiel Essstörungen, die </w:t>
      </w:r>
      <w:proofErr w:type="spellStart"/>
      <w:r w:rsidRPr="00AA7BF1">
        <w:rPr>
          <w:i/>
          <w:iCs/>
          <w:sz w:val="22"/>
          <w:szCs w:val="22"/>
        </w:rPr>
        <w:t>Arbeits</w:t>
      </w:r>
      <w:proofErr w:type="spellEnd"/>
      <w:r w:rsidRPr="00AA7BF1">
        <w:rPr>
          <w:i/>
          <w:iCs/>
          <w:sz w:val="22"/>
          <w:szCs w:val="22"/>
        </w:rPr>
        <w:t xml:space="preserve"> oder Glücksspielsucht, zu Schädigungen der eigenen Persönlichkeit und der zwischenmenschlichen Beziehungen führen kann.</w:t>
      </w:r>
    </w:p>
    <w:p w14:paraId="5BD92DE2" w14:textId="77777777" w:rsidR="00AA7BF1" w:rsidRPr="00AA7BF1" w:rsidRDefault="00AA7BF1" w:rsidP="00AA7BF1">
      <w:pPr>
        <w:pStyle w:val="berschrift21"/>
        <w:shd w:val="clear" w:color="auto" w:fill="FFFFFF"/>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t>§ 5 Schulungsmaßnahmen</w:t>
      </w:r>
    </w:p>
    <w:p w14:paraId="35C22B8B"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Systematisch über den Missbrauch von Suchtmitteln und seine Folgen aufgeklärt, werden alle an verantwortlicher Stelle tätigten Beschäftigten, wie Abteilungsleiter, Ausbilder, und Schwerbehindertenvertreter. Eine besondere Bedeutung kommt hierbei der Schulung von Vorgesetzten zu, die Gespräche mit Betroffenen führen.</w:t>
      </w:r>
    </w:p>
    <w:p w14:paraId="750D314F" w14:textId="77777777" w:rsidR="00AA7BF1" w:rsidRPr="00AA7BF1" w:rsidRDefault="00AA7BF1" w:rsidP="00AA7BF1">
      <w:pPr>
        <w:pStyle w:val="berschrift21"/>
        <w:shd w:val="clear" w:color="auto" w:fill="FFFFFF"/>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t>§ 6 Beseitigung von Ursachen, die zum Missbrauch von Suchtmitteln Anlass geben</w:t>
      </w:r>
    </w:p>
    <w:p w14:paraId="16299E49"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Der verstärkte Missbrauch von Suchtmitteln in bestimmten Abteilungen oder Beschäftigtengruppe, wird in Zusammenschluss mit den Betroffenen, einer Überprüfung unterzogen, im Zuge derer die Ursachenfaktoren für diese identifiziert und beseitigt werden sollen.</w:t>
      </w:r>
    </w:p>
    <w:p w14:paraId="55AA104A" w14:textId="77777777" w:rsidR="00AA7BF1" w:rsidRPr="00AA7BF1" w:rsidRDefault="00AA7BF1" w:rsidP="00AA7BF1">
      <w:pPr>
        <w:pStyle w:val="berschrift21"/>
        <w:shd w:val="clear" w:color="auto" w:fill="FFFFFF"/>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lastRenderedPageBreak/>
        <w:t>§ 7 Maßnahmen und Hilfsangebote für Beschäftigte mit Suchtproblemen</w:t>
      </w:r>
    </w:p>
    <w:p w14:paraId="783FC271" w14:textId="77777777" w:rsidR="00AA7BF1" w:rsidRPr="00AA7BF1" w:rsidRDefault="00AA7BF1" w:rsidP="00AA7BF1">
      <w:pPr>
        <w:pStyle w:val="berschrift21"/>
        <w:numPr>
          <w:ilvl w:val="0"/>
          <w:numId w:val="62"/>
        </w:numPr>
        <w:shd w:val="clear" w:color="auto" w:fill="FFFFFF"/>
        <w:jc w:val="both"/>
        <w:rPr>
          <w:rFonts w:ascii="Times New Roman" w:hAnsi="Times New Roman"/>
          <w:b w:val="0"/>
          <w:bCs w:val="0"/>
          <w:i/>
          <w:iCs/>
          <w:color w:val="000000"/>
          <w:sz w:val="22"/>
          <w:szCs w:val="22"/>
        </w:rPr>
      </w:pPr>
      <w:r w:rsidRPr="00AA7BF1">
        <w:rPr>
          <w:rFonts w:ascii="Times New Roman" w:hAnsi="Times New Roman"/>
          <w:b w:val="0"/>
          <w:bCs w:val="0"/>
          <w:i/>
          <w:iCs/>
          <w:color w:val="000000"/>
          <w:sz w:val="22"/>
          <w:szCs w:val="22"/>
          <w:u w:color="000000"/>
        </w:rPr>
        <w:t xml:space="preserve">Vorgesetzte führen mit Beschäftigten ein Gespräch, bei denen Grund zur Annahme besteht, dass sie ihren arbeitsvertraglichen Verpflichtungen aufgrund eines Suchtproblems nicht mehr nachkommen können. Bei diesem Gespräch werden dem Beschäftigten seine arbeitsvertraglichen Verletzungen dargelegt und erläutert, dass sein negatives Arbeitsverhalten wahrscheinlich auf seine Suchtproblematik zurückzuführen ist. Darüber hinaus soll dem Betroffenen Suchtliteratur zur Selbsteinschätzung zur Verfügung gestellt werden. Personelle Konsequenzen werden dabei nicht gezogen. </w:t>
      </w:r>
    </w:p>
    <w:p w14:paraId="411367E8" w14:textId="77777777" w:rsidR="00AA7BF1" w:rsidRPr="00AA7BF1" w:rsidRDefault="00AA7BF1" w:rsidP="00AA7BF1">
      <w:pPr>
        <w:pStyle w:val="berschrift21"/>
        <w:numPr>
          <w:ilvl w:val="0"/>
          <w:numId w:val="62"/>
        </w:numPr>
        <w:shd w:val="clear" w:color="auto" w:fill="FFFFFF"/>
        <w:jc w:val="both"/>
        <w:rPr>
          <w:rFonts w:ascii="Times New Roman" w:hAnsi="Times New Roman"/>
          <w:b w:val="0"/>
          <w:bCs w:val="0"/>
          <w:i/>
          <w:iCs/>
          <w:color w:val="000000"/>
          <w:sz w:val="22"/>
          <w:szCs w:val="22"/>
        </w:rPr>
      </w:pPr>
      <w:r w:rsidRPr="00AA7BF1">
        <w:rPr>
          <w:rFonts w:ascii="Times New Roman" w:hAnsi="Times New Roman"/>
          <w:b w:val="0"/>
          <w:bCs w:val="0"/>
          <w:i/>
          <w:iCs/>
          <w:color w:val="000000"/>
          <w:sz w:val="22"/>
          <w:szCs w:val="22"/>
          <w:u w:color="000000"/>
        </w:rPr>
        <w:t xml:space="preserve">Werden die arbeitsvertraglichen Verpflichtungen durch das Suchtverhalten des Beschäftigten erneut verletzt, findet zwischen dem zuständigen Vorgesetzten in Zusammenarbeit mit dem Suchtkrankenhelfer und dem Betroffenen ein zweites Gespräch statt. </w:t>
      </w:r>
    </w:p>
    <w:p w14:paraId="2085F6B1" w14:textId="2436B82A" w:rsidR="00AA7BF1" w:rsidRPr="00AA7BF1" w:rsidRDefault="00AA7BF1" w:rsidP="00AA7BF1">
      <w:pPr>
        <w:pStyle w:val="berschrift21"/>
        <w:numPr>
          <w:ilvl w:val="0"/>
          <w:numId w:val="62"/>
        </w:numPr>
        <w:shd w:val="clear" w:color="auto" w:fill="FFFFFF"/>
        <w:jc w:val="both"/>
        <w:rPr>
          <w:rFonts w:ascii="Times New Roman" w:hAnsi="Times New Roman"/>
          <w:b w:val="0"/>
          <w:bCs w:val="0"/>
          <w:i/>
          <w:iCs/>
          <w:color w:val="000000"/>
          <w:sz w:val="22"/>
          <w:szCs w:val="22"/>
        </w:rPr>
      </w:pPr>
      <w:r w:rsidRPr="00AA7BF1">
        <w:rPr>
          <w:rFonts w:ascii="Times New Roman" w:hAnsi="Times New Roman"/>
          <w:b w:val="0"/>
          <w:bCs w:val="0"/>
          <w:i/>
          <w:iCs/>
          <w:color w:val="000000"/>
          <w:sz w:val="22"/>
          <w:szCs w:val="22"/>
          <w:u w:color="000000"/>
        </w:rPr>
        <w:t xml:space="preserve">Neben der schriftlichen Abmahnung kommt es bei weiteren suchtbedingten Verletzungen der arbeitsvertraglichen Pflicht zu einem Viertgespräch. Die Teilnehmer an diesem Gespräch sind die Vorgesetzten, die Personalabteilung sowie ein Mitglied des </w:t>
      </w:r>
      <w:r>
        <w:rPr>
          <w:rFonts w:ascii="Times New Roman" w:hAnsi="Times New Roman"/>
          <w:b w:val="0"/>
          <w:bCs w:val="0"/>
          <w:i/>
          <w:iCs/>
          <w:color w:val="000000"/>
          <w:sz w:val="22"/>
          <w:szCs w:val="22"/>
          <w:u w:color="000000"/>
        </w:rPr>
        <w:t>Personal</w:t>
      </w:r>
      <w:r w:rsidRPr="00AA7BF1">
        <w:rPr>
          <w:rFonts w:ascii="Times New Roman" w:hAnsi="Times New Roman"/>
          <w:b w:val="0"/>
          <w:bCs w:val="0"/>
          <w:i/>
          <w:iCs/>
          <w:color w:val="000000"/>
          <w:sz w:val="22"/>
          <w:szCs w:val="22"/>
          <w:u w:color="000000"/>
        </w:rPr>
        <w:t>rats. Der Betroffene wird dabei aufgefordert schnellstmöglich eine Beratungsstelle aufzusuchen. Ferner wird ihm eine zweite Abmahnung und eine zusätzliche Maßnahme, wie zum Beispiel der Abzug außertariflicher Leistungen, angekündigt, wenn die arbeitsvertraglichen Verpflichtungen, aufgrund des suchtbedingte</w:t>
      </w:r>
      <w:r>
        <w:rPr>
          <w:rFonts w:ascii="Times New Roman" w:hAnsi="Times New Roman"/>
          <w:b w:val="0"/>
          <w:bCs w:val="0"/>
          <w:i/>
          <w:iCs/>
          <w:color w:val="000000"/>
          <w:sz w:val="22"/>
          <w:szCs w:val="22"/>
          <w:u w:color="000000"/>
        </w:rPr>
        <w:t>n</w:t>
      </w:r>
      <w:r w:rsidRPr="00AA7BF1">
        <w:rPr>
          <w:rFonts w:ascii="Times New Roman" w:hAnsi="Times New Roman"/>
          <w:b w:val="0"/>
          <w:bCs w:val="0"/>
          <w:i/>
          <w:iCs/>
          <w:color w:val="000000"/>
          <w:sz w:val="22"/>
          <w:szCs w:val="22"/>
          <w:u w:color="000000"/>
        </w:rPr>
        <w:t xml:space="preserve"> Verhaltens weiterhin verletzt werden.</w:t>
      </w:r>
    </w:p>
    <w:p w14:paraId="4E559BBF" w14:textId="77777777" w:rsidR="00AA7BF1" w:rsidRPr="00AA7BF1" w:rsidRDefault="00AA7BF1" w:rsidP="00AA7BF1">
      <w:pPr>
        <w:pStyle w:val="berschrift21"/>
        <w:numPr>
          <w:ilvl w:val="0"/>
          <w:numId w:val="62"/>
        </w:numPr>
        <w:shd w:val="clear" w:color="auto" w:fill="FFFFFF"/>
        <w:jc w:val="both"/>
        <w:rPr>
          <w:rFonts w:ascii="Times New Roman" w:hAnsi="Times New Roman"/>
          <w:b w:val="0"/>
          <w:bCs w:val="0"/>
          <w:i/>
          <w:iCs/>
          <w:color w:val="000000"/>
          <w:sz w:val="22"/>
          <w:szCs w:val="22"/>
        </w:rPr>
      </w:pPr>
      <w:r w:rsidRPr="00AA7BF1">
        <w:rPr>
          <w:rFonts w:ascii="Times New Roman" w:hAnsi="Times New Roman"/>
          <w:b w:val="0"/>
          <w:bCs w:val="0"/>
          <w:i/>
          <w:iCs/>
          <w:color w:val="000000"/>
          <w:sz w:val="22"/>
          <w:szCs w:val="22"/>
          <w:u w:color="000000"/>
        </w:rPr>
        <w:t>Werden die arbeitsvertraglichen Maßnahmen erneut verletzt, kommt es neben der zweiten schriftlichen Abmahnung und der zusätzlich angekündigten Maßnahme, zu einem fünften und vorletzten Konfliktgespräch.</w:t>
      </w:r>
    </w:p>
    <w:p w14:paraId="4544D81C" w14:textId="1ECB68B5" w:rsidR="00AA7BF1" w:rsidRPr="00AA7BF1" w:rsidRDefault="00AA7BF1" w:rsidP="00AA7BF1">
      <w:pPr>
        <w:pStyle w:val="berschrift21"/>
        <w:numPr>
          <w:ilvl w:val="0"/>
          <w:numId w:val="62"/>
        </w:numPr>
        <w:shd w:val="clear" w:color="auto" w:fill="FFFFFF"/>
        <w:jc w:val="both"/>
        <w:rPr>
          <w:rFonts w:ascii="Times New Roman" w:hAnsi="Times New Roman"/>
          <w:b w:val="0"/>
          <w:bCs w:val="0"/>
          <w:i/>
          <w:iCs/>
          <w:color w:val="000000"/>
          <w:sz w:val="22"/>
          <w:szCs w:val="22"/>
        </w:rPr>
      </w:pPr>
      <w:r w:rsidRPr="00AA7BF1">
        <w:rPr>
          <w:rFonts w:ascii="Times New Roman" w:hAnsi="Times New Roman"/>
          <w:b w:val="0"/>
          <w:bCs w:val="0"/>
          <w:i/>
          <w:iCs/>
          <w:color w:val="000000"/>
          <w:sz w:val="22"/>
          <w:szCs w:val="22"/>
          <w:u w:color="000000"/>
        </w:rPr>
        <w:t xml:space="preserve">Die Kündigung wird schließlich ausgesprochen, wenn der Betroffene seine arbeitsvertragliche Pflicht weiterhin suchtbedingt verletzt, da er von der Wahrnehmung einer entsprechenden therapeutischen Maßnahme abgesehen hat. Durchzuführen ist sie unter der Beachtung der individualrechtlichen Bestimmungen, wie zum Beispiel des Kündigungsschutzgesetzes und unter Beteiligung des </w:t>
      </w:r>
      <w:r>
        <w:rPr>
          <w:rFonts w:ascii="Times New Roman" w:hAnsi="Times New Roman"/>
          <w:b w:val="0"/>
          <w:bCs w:val="0"/>
          <w:i/>
          <w:iCs/>
          <w:color w:val="000000"/>
          <w:sz w:val="22"/>
          <w:szCs w:val="22"/>
          <w:u w:color="000000"/>
        </w:rPr>
        <w:t>Personalrats</w:t>
      </w:r>
      <w:r w:rsidRPr="00AA7BF1">
        <w:rPr>
          <w:rFonts w:ascii="Times New Roman" w:hAnsi="Times New Roman"/>
          <w:b w:val="0"/>
          <w:bCs w:val="0"/>
          <w:i/>
          <w:iCs/>
          <w:color w:val="000000"/>
          <w:sz w:val="22"/>
          <w:szCs w:val="22"/>
          <w:u w:color="000000"/>
        </w:rPr>
        <w:t>. Wichtig ist hierbei, dass ein individuelles Beurteilen des Betroffenen erfolgt.</w:t>
      </w:r>
    </w:p>
    <w:p w14:paraId="7D238F52" w14:textId="5AF34407" w:rsidR="00AA7BF1" w:rsidRPr="00AA7BF1" w:rsidRDefault="00AA7BF1" w:rsidP="00AA7BF1">
      <w:pPr>
        <w:pStyle w:val="berschrift21"/>
        <w:numPr>
          <w:ilvl w:val="0"/>
          <w:numId w:val="62"/>
        </w:numPr>
        <w:shd w:val="clear" w:color="auto" w:fill="FFFFFF"/>
        <w:jc w:val="both"/>
        <w:rPr>
          <w:rFonts w:ascii="Times New Roman" w:hAnsi="Times New Roman"/>
          <w:b w:val="0"/>
          <w:bCs w:val="0"/>
          <w:i/>
          <w:iCs/>
          <w:color w:val="000000"/>
          <w:sz w:val="22"/>
          <w:szCs w:val="22"/>
        </w:rPr>
      </w:pPr>
      <w:r w:rsidRPr="00AA7BF1">
        <w:rPr>
          <w:rFonts w:ascii="Times New Roman" w:hAnsi="Times New Roman"/>
          <w:b w:val="0"/>
          <w:bCs w:val="0"/>
          <w:i/>
          <w:iCs/>
          <w:color w:val="000000"/>
          <w:sz w:val="22"/>
          <w:szCs w:val="22"/>
          <w:u w:color="000000"/>
        </w:rPr>
        <w:t>Ist es dem Betroffenem möglich, dass er innerhalb eines Jahres nach dem Ausspruch der Kündigung zu einer abstinenten Lebensweise zu finden, bemüht sich d</w:t>
      </w:r>
      <w:r>
        <w:rPr>
          <w:rFonts w:ascii="Times New Roman" w:hAnsi="Times New Roman"/>
          <w:b w:val="0"/>
          <w:bCs w:val="0"/>
          <w:i/>
          <w:iCs/>
          <w:color w:val="000000"/>
          <w:sz w:val="22"/>
          <w:szCs w:val="22"/>
          <w:u w:color="000000"/>
        </w:rPr>
        <w:t xml:space="preserve">ie Dienststelle </w:t>
      </w:r>
      <w:r w:rsidRPr="00AA7BF1">
        <w:rPr>
          <w:rFonts w:ascii="Times New Roman" w:hAnsi="Times New Roman"/>
          <w:b w:val="0"/>
          <w:bCs w:val="0"/>
          <w:i/>
          <w:iCs/>
          <w:color w:val="000000"/>
          <w:sz w:val="22"/>
          <w:szCs w:val="22"/>
          <w:u w:color="000000"/>
        </w:rPr>
        <w:t xml:space="preserve">ihn wieder einzustellen. An diesem Entscheidungsprozess ist auch der </w:t>
      </w:r>
      <w:r>
        <w:rPr>
          <w:rFonts w:ascii="Times New Roman" w:hAnsi="Times New Roman"/>
          <w:b w:val="0"/>
          <w:bCs w:val="0"/>
          <w:i/>
          <w:iCs/>
          <w:color w:val="000000"/>
          <w:sz w:val="22"/>
          <w:szCs w:val="22"/>
          <w:u w:color="000000"/>
        </w:rPr>
        <w:t>Personal</w:t>
      </w:r>
      <w:r w:rsidRPr="00AA7BF1">
        <w:rPr>
          <w:rFonts w:ascii="Times New Roman" w:hAnsi="Times New Roman"/>
          <w:b w:val="0"/>
          <w:bCs w:val="0"/>
          <w:i/>
          <w:iCs/>
          <w:color w:val="000000"/>
          <w:sz w:val="22"/>
          <w:szCs w:val="22"/>
          <w:u w:color="000000"/>
        </w:rPr>
        <w:t>rat zu beteiligen.</w:t>
      </w:r>
    </w:p>
    <w:p w14:paraId="583E453B" w14:textId="77777777" w:rsidR="00AA7BF1" w:rsidRPr="00AA7BF1" w:rsidRDefault="00AA7BF1" w:rsidP="00AA7BF1">
      <w:pPr>
        <w:pStyle w:val="berschrift21"/>
        <w:shd w:val="clear" w:color="auto" w:fill="FFFFFF"/>
        <w:jc w:val="both"/>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t>§ 8 Rückfall</w:t>
      </w:r>
    </w:p>
    <w:p w14:paraId="67F2DFCB" w14:textId="7D46C5A5"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 xml:space="preserve">Wird der Betroffene nach einer ambulanten Therapie oder stationären Therapie rückfällig, ist im Einvernehmen mit dem Betroffenen, dem Werksarzt, dem Gesundheitsbeauftragten, dem </w:t>
      </w:r>
      <w:r>
        <w:rPr>
          <w:i/>
          <w:iCs/>
          <w:sz w:val="22"/>
          <w:szCs w:val="22"/>
        </w:rPr>
        <w:t>Personal</w:t>
      </w:r>
      <w:r w:rsidRPr="00AA7BF1">
        <w:rPr>
          <w:i/>
          <w:iCs/>
          <w:sz w:val="22"/>
          <w:szCs w:val="22"/>
        </w:rPr>
        <w:t>rat und Vorgesetzten das weitere Vorgehen zu regeln. Diese orientiert sich an den Stufen 8.1. bis 8.6.</w:t>
      </w:r>
    </w:p>
    <w:p w14:paraId="6B805625" w14:textId="77777777" w:rsidR="00AA7BF1" w:rsidRPr="00AA7BF1" w:rsidRDefault="00AA7BF1" w:rsidP="00AA7BF1">
      <w:pPr>
        <w:pStyle w:val="berschrift21"/>
        <w:shd w:val="clear" w:color="auto" w:fill="FFFFFF"/>
        <w:jc w:val="both"/>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t>§ 9 Wiedereingliederung</w:t>
      </w:r>
    </w:p>
    <w:p w14:paraId="3575BCC2"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Abstinent lebenden Suchterkrankten wird bei der Wiedereingliederung Unterstützung angeboten, soweit sie dies wünschen. Dabei können sie grundsätzlich wieder ihren alten Arbeitsplatz besetzen. Nicht beschäftigt werden sie jedoch an Arbeitsplätzen, an denen sie mit Lösungsmitteln arbeiten, durch die sie suchtbegünstigenden Dämpfen ausgesetzt sind.</w:t>
      </w:r>
    </w:p>
    <w:p w14:paraId="00D726F0"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Ferner haben abstinent lebende Suchterkrankte, einen Anspruch darauf, dass Hinweise auf ihre Abhängigkeit innerhalb eines Jahres aus ihrer Personalakte entfernt werden.</w:t>
      </w:r>
    </w:p>
    <w:p w14:paraId="58FD6B1A" w14:textId="77777777" w:rsidR="00AA7BF1" w:rsidRPr="00AA7BF1" w:rsidRDefault="00AA7BF1" w:rsidP="00AA7BF1">
      <w:pPr>
        <w:pStyle w:val="berschrift21"/>
        <w:shd w:val="clear" w:color="auto" w:fill="FFFFFF"/>
        <w:jc w:val="both"/>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lastRenderedPageBreak/>
        <w:t>§ 10 Arbeitskreis „Gesundheit“</w:t>
      </w:r>
    </w:p>
    <w:p w14:paraId="0D029AD8" w14:textId="70EF7158"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 xml:space="preserve">Der Gesundheitsbeauftragte übernimmt die Leitung des Arbeitskreises „Gesundheit“. In diesem arbeiten sowohl die </w:t>
      </w:r>
      <w:proofErr w:type="gramStart"/>
      <w:r w:rsidRPr="00AA7BF1">
        <w:rPr>
          <w:i/>
          <w:iCs/>
          <w:sz w:val="22"/>
          <w:szCs w:val="22"/>
        </w:rPr>
        <w:t>Geschäftsleitung,</w:t>
      </w:r>
      <w:proofErr w:type="gramEnd"/>
      <w:r w:rsidRPr="00AA7BF1">
        <w:rPr>
          <w:i/>
          <w:iCs/>
          <w:sz w:val="22"/>
          <w:szCs w:val="22"/>
        </w:rPr>
        <w:t xml:space="preserve"> als auch der </w:t>
      </w:r>
      <w:r>
        <w:rPr>
          <w:i/>
          <w:iCs/>
          <w:sz w:val="22"/>
          <w:szCs w:val="22"/>
        </w:rPr>
        <w:t>Personal</w:t>
      </w:r>
      <w:r w:rsidRPr="00AA7BF1">
        <w:rPr>
          <w:i/>
          <w:iCs/>
          <w:sz w:val="22"/>
          <w:szCs w:val="22"/>
        </w:rPr>
        <w:t>rat, der werksärztliche Dienst, die Sozialabteilung, der Sicherheitsbeauftragte, die Leitung der Ausbildungswerkstatt, die Schwerbehindertenvertreter und ehrenamtliche Suchtkrankenhelfer zusammen.</w:t>
      </w:r>
    </w:p>
    <w:p w14:paraId="37FAF99B" w14:textId="77777777" w:rsidR="00AA7BF1" w:rsidRPr="00AA7BF1" w:rsidRDefault="00AA7BF1" w:rsidP="00AA7BF1">
      <w:pPr>
        <w:pStyle w:val="berschrift21"/>
        <w:shd w:val="clear" w:color="auto" w:fill="FFFFFF"/>
        <w:jc w:val="both"/>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t>§ 11 Schweigepflicht</w:t>
      </w:r>
    </w:p>
    <w:p w14:paraId="32467E6F"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Nach § 203 Strafgesetzbuch dürfen Ärzte, Psychologen und Sozialarbeiter Inhalte und Informationen über Hilfsgespräche nur dann weitergeben, wenn der Betroffene sein Einverständnis hierfür gegeben hat. Dieser Grundsatz erhebt auch im Hinblick auf Vorgesetzte einen Geltungsanspruch. Die Schweigepflicht gilt dabei auch für Gesundheitsbeauftragte und für ehrenamtliche Suchtkrankenhelfer.</w:t>
      </w:r>
    </w:p>
    <w:p w14:paraId="556D3AF8" w14:textId="77777777" w:rsidR="00AA7BF1" w:rsidRPr="00AA7BF1" w:rsidRDefault="00AA7BF1" w:rsidP="00AA7BF1">
      <w:pPr>
        <w:pStyle w:val="berschrift21"/>
        <w:shd w:val="clear" w:color="auto" w:fill="FFFFFF"/>
        <w:jc w:val="both"/>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t>§ 12 Beilegung von Streitigkeiten</w:t>
      </w:r>
    </w:p>
    <w:p w14:paraId="5A7C2358" w14:textId="33ED4F31" w:rsidR="00AA7BF1" w:rsidRPr="00AA7BF1" w:rsidRDefault="00AA7BF1" w:rsidP="00AA7BF1">
      <w:pPr>
        <w:pStyle w:val="StandardWeb"/>
        <w:shd w:val="clear" w:color="auto" w:fill="FFFFFF"/>
        <w:spacing w:before="0" w:after="0"/>
        <w:jc w:val="both"/>
        <w:rPr>
          <w:i/>
          <w:iCs/>
          <w:sz w:val="22"/>
          <w:szCs w:val="22"/>
        </w:rPr>
      </w:pPr>
      <w:r>
        <w:rPr>
          <w:i/>
          <w:iCs/>
          <w:sz w:val="22"/>
          <w:szCs w:val="22"/>
        </w:rPr>
        <w:t>Die</w:t>
      </w:r>
      <w:r w:rsidRPr="00AA7BF1">
        <w:rPr>
          <w:i/>
          <w:iCs/>
          <w:sz w:val="22"/>
          <w:szCs w:val="22"/>
        </w:rPr>
        <w:t xml:space="preserve"> Einigungsstelle</w:t>
      </w:r>
      <w:r>
        <w:rPr>
          <w:i/>
          <w:iCs/>
          <w:sz w:val="22"/>
          <w:szCs w:val="22"/>
        </w:rPr>
        <w:t xml:space="preserve"> entscheidet</w:t>
      </w:r>
      <w:r w:rsidRPr="00AA7BF1">
        <w:rPr>
          <w:i/>
          <w:iCs/>
          <w:sz w:val="22"/>
          <w:szCs w:val="22"/>
        </w:rPr>
        <w:t>, wenn zwischen de</w:t>
      </w:r>
      <w:r>
        <w:rPr>
          <w:i/>
          <w:iCs/>
          <w:sz w:val="22"/>
          <w:szCs w:val="22"/>
        </w:rPr>
        <w:t xml:space="preserve">r Dienststelle </w:t>
      </w:r>
      <w:r w:rsidRPr="00AA7BF1">
        <w:rPr>
          <w:i/>
          <w:iCs/>
          <w:sz w:val="22"/>
          <w:szCs w:val="22"/>
        </w:rPr>
        <w:t xml:space="preserve">und dem </w:t>
      </w:r>
      <w:r>
        <w:rPr>
          <w:i/>
          <w:iCs/>
          <w:sz w:val="22"/>
          <w:szCs w:val="22"/>
        </w:rPr>
        <w:t>Personal</w:t>
      </w:r>
      <w:r w:rsidRPr="00AA7BF1">
        <w:rPr>
          <w:i/>
          <w:iCs/>
          <w:sz w:val="22"/>
          <w:szCs w:val="22"/>
        </w:rPr>
        <w:t xml:space="preserve">rat keine Einigung über die Auslegung und Anwendung dieser </w:t>
      </w:r>
      <w:r>
        <w:rPr>
          <w:i/>
          <w:iCs/>
          <w:sz w:val="22"/>
          <w:szCs w:val="22"/>
        </w:rPr>
        <w:t>Dienst</w:t>
      </w:r>
      <w:r w:rsidRPr="00AA7BF1">
        <w:rPr>
          <w:i/>
          <w:iCs/>
          <w:sz w:val="22"/>
          <w:szCs w:val="22"/>
        </w:rPr>
        <w:t>vereinbarung erzielt werden kann.</w:t>
      </w:r>
    </w:p>
    <w:p w14:paraId="6764CC58" w14:textId="77777777" w:rsidR="00AA7BF1" w:rsidRPr="00AA7BF1" w:rsidRDefault="00AA7BF1" w:rsidP="00AA7BF1">
      <w:pPr>
        <w:pStyle w:val="berschrift21"/>
        <w:shd w:val="clear" w:color="auto" w:fill="FFFFFF"/>
        <w:jc w:val="both"/>
        <w:rPr>
          <w:rFonts w:ascii="Times New Roman" w:eastAsia="Times New Roman" w:hAnsi="Times New Roman" w:cs="Times New Roman"/>
          <w:i/>
          <w:iCs/>
          <w:color w:val="000000"/>
          <w:sz w:val="22"/>
          <w:szCs w:val="22"/>
          <w:u w:color="000000"/>
        </w:rPr>
      </w:pPr>
      <w:r w:rsidRPr="00AA7BF1">
        <w:rPr>
          <w:rFonts w:ascii="Times New Roman" w:hAnsi="Times New Roman"/>
          <w:i/>
          <w:iCs/>
          <w:color w:val="000000"/>
          <w:sz w:val="22"/>
          <w:szCs w:val="22"/>
          <w:u w:color="000000"/>
        </w:rPr>
        <w:t>§ 13 Geltungsdauer</w:t>
      </w:r>
    </w:p>
    <w:p w14:paraId="210042F5" w14:textId="144415B1"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 xml:space="preserve">Die </w:t>
      </w:r>
      <w:r>
        <w:rPr>
          <w:i/>
          <w:iCs/>
          <w:sz w:val="22"/>
          <w:szCs w:val="22"/>
        </w:rPr>
        <w:t>Dienst</w:t>
      </w:r>
      <w:r w:rsidRPr="00AA7BF1">
        <w:rPr>
          <w:i/>
          <w:iCs/>
          <w:sz w:val="22"/>
          <w:szCs w:val="22"/>
        </w:rPr>
        <w:t>vereinbarung tritt am … in Kraft. Die Kündigungsfrist beträgt drei Monate zum Schluss eines Kalenderjahres.</w:t>
      </w:r>
    </w:p>
    <w:p w14:paraId="22157591"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 </w:t>
      </w:r>
    </w:p>
    <w:p w14:paraId="2C4BF6DF" w14:textId="77777777" w:rsidR="00AA7BF1" w:rsidRPr="00AA7BF1" w:rsidRDefault="00AA7BF1" w:rsidP="00AA7BF1">
      <w:pPr>
        <w:pStyle w:val="StandardWeb"/>
        <w:shd w:val="clear" w:color="auto" w:fill="FFFFFF"/>
        <w:spacing w:before="0" w:after="0"/>
        <w:jc w:val="both"/>
        <w:rPr>
          <w:i/>
          <w:iCs/>
          <w:sz w:val="22"/>
          <w:szCs w:val="22"/>
        </w:rPr>
      </w:pPr>
      <w:r w:rsidRPr="00AA7BF1">
        <w:rPr>
          <w:i/>
          <w:iCs/>
          <w:sz w:val="22"/>
          <w:szCs w:val="22"/>
        </w:rPr>
        <w:t>..., den ...</w:t>
      </w:r>
    </w:p>
    <w:p w14:paraId="794A8F84" w14:textId="77777777" w:rsidR="00AA7BF1" w:rsidRPr="00AA7BF1" w:rsidRDefault="00AA7BF1" w:rsidP="00AA7BF1">
      <w:pPr>
        <w:pStyle w:val="StandardWeb"/>
        <w:shd w:val="clear" w:color="auto" w:fill="FFFFFF"/>
        <w:spacing w:before="0" w:after="0"/>
        <w:jc w:val="both"/>
        <w:rPr>
          <w:i/>
          <w:iCs/>
          <w:sz w:val="22"/>
          <w:szCs w:val="22"/>
        </w:rPr>
      </w:pPr>
    </w:p>
    <w:p w14:paraId="3C70B83C" w14:textId="77777777" w:rsidR="00AA7BF1" w:rsidRDefault="00AA7BF1" w:rsidP="00AA7BF1">
      <w:pPr>
        <w:pStyle w:val="StandardWeb"/>
        <w:shd w:val="clear" w:color="auto" w:fill="FFFFFF"/>
        <w:spacing w:before="0" w:after="0"/>
        <w:jc w:val="both"/>
        <w:rPr>
          <w:i/>
          <w:iCs/>
          <w:sz w:val="22"/>
          <w:szCs w:val="22"/>
        </w:rPr>
      </w:pPr>
      <w:r w:rsidRPr="00A45C08">
        <w:rPr>
          <w:i/>
          <w:iCs/>
          <w:sz w:val="22"/>
          <w:szCs w:val="22"/>
        </w:rPr>
        <w:t>Unterschriften</w:t>
      </w: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5399A5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E741EF">
        <w:rPr>
          <w:rFonts w:ascii="Arial" w:eastAsia="Times New Roman" w:hAnsi="Arial" w:cs="Arial"/>
          <w:color w:val="868686"/>
          <w:sz w:val="13"/>
          <w:szCs w:val="13"/>
          <w:lang w:eastAsia="de-DE"/>
        </w:rPr>
        <w:t>8</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1714" w14:textId="77777777" w:rsidR="00CD5F06" w:rsidRDefault="00CD5F06" w:rsidP="00BF7674">
      <w:r>
        <w:separator/>
      </w:r>
    </w:p>
  </w:endnote>
  <w:endnote w:type="continuationSeparator" w:id="0">
    <w:p w14:paraId="4B4724EA" w14:textId="77777777" w:rsidR="00CD5F06" w:rsidRDefault="00CD5F0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6A7E" w14:textId="77777777" w:rsidR="00CD5F06" w:rsidRDefault="00CD5F06" w:rsidP="00BF7674">
      <w:r>
        <w:separator/>
      </w:r>
    </w:p>
  </w:footnote>
  <w:footnote w:type="continuationSeparator" w:id="0">
    <w:p w14:paraId="3D32809E" w14:textId="77777777" w:rsidR="00CD5F06" w:rsidRDefault="00CD5F0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D75CAF"/>
    <w:multiLevelType w:val="hybridMultilevel"/>
    <w:tmpl w:val="0478CD40"/>
    <w:numStyleLink w:val="ImportierterStil6"/>
  </w:abstractNum>
  <w:abstractNum w:abstractNumId="3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5F6101"/>
    <w:multiLevelType w:val="hybridMultilevel"/>
    <w:tmpl w:val="A4189F16"/>
    <w:numStyleLink w:val="ImportierterStil5"/>
  </w:abstractNum>
  <w:abstractNum w:abstractNumId="5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8"/>
  </w:num>
  <w:num w:numId="2" w16cid:durableId="573013156">
    <w:abstractNumId w:val="50"/>
  </w:num>
  <w:num w:numId="3" w16cid:durableId="1779830718">
    <w:abstractNumId w:val="17"/>
  </w:num>
  <w:num w:numId="4" w16cid:durableId="725178237">
    <w:abstractNumId w:val="42"/>
  </w:num>
  <w:num w:numId="5" w16cid:durableId="220294192">
    <w:abstractNumId w:val="53"/>
  </w:num>
  <w:num w:numId="6" w16cid:durableId="930698965">
    <w:abstractNumId w:val="54"/>
  </w:num>
  <w:num w:numId="7" w16cid:durableId="1217887320">
    <w:abstractNumId w:val="59"/>
  </w:num>
  <w:num w:numId="8" w16cid:durableId="1581284903">
    <w:abstractNumId w:val="49"/>
  </w:num>
  <w:num w:numId="9" w16cid:durableId="2043164235">
    <w:abstractNumId w:val="47"/>
  </w:num>
  <w:num w:numId="10" w16cid:durableId="359477797">
    <w:abstractNumId w:val="26"/>
  </w:num>
  <w:num w:numId="11" w16cid:durableId="2118863191">
    <w:abstractNumId w:val="48"/>
  </w:num>
  <w:num w:numId="12" w16cid:durableId="1105073630">
    <w:abstractNumId w:val="18"/>
  </w:num>
  <w:num w:numId="13" w16cid:durableId="501816211">
    <w:abstractNumId w:val="6"/>
  </w:num>
  <w:num w:numId="14" w16cid:durableId="2087798823">
    <w:abstractNumId w:val="30"/>
  </w:num>
  <w:num w:numId="15" w16cid:durableId="1222252971">
    <w:abstractNumId w:val="14"/>
  </w:num>
  <w:num w:numId="16" w16cid:durableId="1880429248">
    <w:abstractNumId w:val="40"/>
  </w:num>
  <w:num w:numId="17" w16cid:durableId="2064789847">
    <w:abstractNumId w:val="2"/>
  </w:num>
  <w:num w:numId="18" w16cid:durableId="1674608018">
    <w:abstractNumId w:val="33"/>
  </w:num>
  <w:num w:numId="19" w16cid:durableId="1719551836">
    <w:abstractNumId w:val="38"/>
  </w:num>
  <w:num w:numId="20" w16cid:durableId="1244490335">
    <w:abstractNumId w:val="4"/>
  </w:num>
  <w:num w:numId="21" w16cid:durableId="177737794">
    <w:abstractNumId w:val="23"/>
  </w:num>
  <w:num w:numId="22" w16cid:durableId="917902633">
    <w:abstractNumId w:val="13"/>
  </w:num>
  <w:num w:numId="23" w16cid:durableId="373698778">
    <w:abstractNumId w:val="19"/>
  </w:num>
  <w:num w:numId="24" w16cid:durableId="1589269503">
    <w:abstractNumId w:val="16"/>
  </w:num>
  <w:num w:numId="25" w16cid:durableId="429205834">
    <w:abstractNumId w:val="7"/>
  </w:num>
  <w:num w:numId="26" w16cid:durableId="762335405">
    <w:abstractNumId w:val="5"/>
  </w:num>
  <w:num w:numId="27" w16cid:durableId="1625384825">
    <w:abstractNumId w:val="32"/>
  </w:num>
  <w:num w:numId="28" w16cid:durableId="1697072466">
    <w:abstractNumId w:val="22"/>
  </w:num>
  <w:num w:numId="29" w16cid:durableId="630015363">
    <w:abstractNumId w:val="24"/>
  </w:num>
  <w:num w:numId="30" w16cid:durableId="1777211645">
    <w:abstractNumId w:val="28"/>
  </w:num>
  <w:num w:numId="31" w16cid:durableId="1223832647">
    <w:abstractNumId w:val="43"/>
  </w:num>
  <w:num w:numId="32" w16cid:durableId="1128670099">
    <w:abstractNumId w:val="51"/>
  </w:num>
  <w:num w:numId="33" w16cid:durableId="1417821402">
    <w:abstractNumId w:val="21"/>
  </w:num>
  <w:num w:numId="34" w16cid:durableId="1393113635">
    <w:abstractNumId w:val="44"/>
  </w:num>
  <w:num w:numId="35" w16cid:durableId="919750748">
    <w:abstractNumId w:val="31"/>
  </w:num>
  <w:num w:numId="36" w16cid:durableId="430861448">
    <w:abstractNumId w:val="56"/>
  </w:num>
  <w:num w:numId="37" w16cid:durableId="1799226588">
    <w:abstractNumId w:val="56"/>
  </w:num>
  <w:num w:numId="38" w16cid:durableId="1329752621">
    <w:abstractNumId w:val="39"/>
  </w:num>
  <w:num w:numId="39" w16cid:durableId="621425610">
    <w:abstractNumId w:val="34"/>
  </w:num>
  <w:num w:numId="40" w16cid:durableId="2028360859">
    <w:abstractNumId w:val="60"/>
  </w:num>
  <w:num w:numId="41" w16cid:durableId="1736853224">
    <w:abstractNumId w:val="35"/>
  </w:num>
  <w:num w:numId="42" w16cid:durableId="78332183">
    <w:abstractNumId w:val="27"/>
  </w:num>
  <w:num w:numId="43" w16cid:durableId="1423837091">
    <w:abstractNumId w:val="0"/>
  </w:num>
  <w:num w:numId="44" w16cid:durableId="1430586683">
    <w:abstractNumId w:val="10"/>
  </w:num>
  <w:num w:numId="45" w16cid:durableId="1422872476">
    <w:abstractNumId w:val="12"/>
  </w:num>
  <w:num w:numId="46" w16cid:durableId="1355183361">
    <w:abstractNumId w:val="15"/>
  </w:num>
  <w:num w:numId="47" w16cid:durableId="669597700">
    <w:abstractNumId w:val="37"/>
  </w:num>
  <w:num w:numId="48" w16cid:durableId="446312732">
    <w:abstractNumId w:val="46"/>
  </w:num>
  <w:num w:numId="49" w16cid:durableId="39791684">
    <w:abstractNumId w:val="36"/>
  </w:num>
  <w:num w:numId="50" w16cid:durableId="117527703">
    <w:abstractNumId w:val="45"/>
  </w:num>
  <w:num w:numId="51" w16cid:durableId="1617131525">
    <w:abstractNumId w:val="41"/>
  </w:num>
  <w:num w:numId="52" w16cid:durableId="372117226">
    <w:abstractNumId w:val="20"/>
  </w:num>
  <w:num w:numId="53" w16cid:durableId="1680042876">
    <w:abstractNumId w:val="8"/>
  </w:num>
  <w:num w:numId="54" w16cid:durableId="723678726">
    <w:abstractNumId w:val="25"/>
  </w:num>
  <w:num w:numId="55" w16cid:durableId="591357925">
    <w:abstractNumId w:val="3"/>
  </w:num>
  <w:num w:numId="56" w16cid:durableId="1969430323">
    <w:abstractNumId w:val="52"/>
  </w:num>
  <w:num w:numId="57" w16cid:durableId="1489974231">
    <w:abstractNumId w:val="11"/>
  </w:num>
  <w:num w:numId="58" w16cid:durableId="1856379896">
    <w:abstractNumId w:val="57"/>
  </w:num>
  <w:num w:numId="59" w16cid:durableId="578757115">
    <w:abstractNumId w:val="55"/>
  </w:num>
  <w:num w:numId="60" w16cid:durableId="1311862238">
    <w:abstractNumId w:val="29"/>
  </w:num>
  <w:num w:numId="61" w16cid:durableId="722682007">
    <w:abstractNumId w:val="9"/>
  </w:num>
  <w:num w:numId="62" w16cid:durableId="3330727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A7BF1"/>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5F06"/>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8502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2023-08-09T06:49:00Z</dcterms:created>
  <dcterms:modified xsi:type="dcterms:W3CDTF">2023-08-09T06:49:00Z</dcterms:modified>
</cp:coreProperties>
</file>