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C9E" w14:textId="77777777" w:rsidR="007F54FC" w:rsidRPr="007F54FC" w:rsidRDefault="007F54FC" w:rsidP="007F54FC">
      <w:pPr>
        <w:pStyle w:val="PNLSubhead"/>
        <w:outlineLvl w:val="0"/>
      </w:pPr>
      <w:r w:rsidRPr="007F54FC">
        <w:t>Muster: So regeln Sie die Videoüberwachung</w:t>
      </w:r>
    </w:p>
    <w:p w14:paraId="652C945D" w14:textId="77777777" w:rsidR="007F54FC" w:rsidRPr="007F54FC" w:rsidRDefault="007F54FC" w:rsidP="007F54FC">
      <w:pPr>
        <w:jc w:val="both"/>
        <w:rPr>
          <w:sz w:val="22"/>
          <w:szCs w:val="22"/>
        </w:rPr>
      </w:pPr>
    </w:p>
    <w:p w14:paraId="7A44B21C" w14:textId="1BE2E0B5" w:rsidR="007F54FC" w:rsidRPr="007F54FC" w:rsidRDefault="007F54FC" w:rsidP="007F54FC">
      <w:pPr>
        <w:jc w:val="center"/>
        <w:rPr>
          <w:b/>
          <w:i/>
          <w:iCs/>
          <w:sz w:val="22"/>
          <w:szCs w:val="22"/>
        </w:rPr>
      </w:pPr>
      <w:r>
        <w:rPr>
          <w:b/>
          <w:i/>
          <w:iCs/>
          <w:sz w:val="22"/>
          <w:szCs w:val="22"/>
        </w:rPr>
        <w:t>Dienst</w:t>
      </w:r>
      <w:r w:rsidRPr="007F54FC">
        <w:rPr>
          <w:b/>
          <w:i/>
          <w:iCs/>
          <w:sz w:val="22"/>
          <w:szCs w:val="22"/>
        </w:rPr>
        <w:t>vereinbarung</w:t>
      </w:r>
    </w:p>
    <w:p w14:paraId="3871E5D1" w14:textId="77777777" w:rsidR="007F54FC" w:rsidRPr="007F54FC" w:rsidRDefault="007F54FC" w:rsidP="007F54FC">
      <w:pPr>
        <w:jc w:val="center"/>
        <w:rPr>
          <w:b/>
          <w:i/>
          <w:iCs/>
          <w:sz w:val="22"/>
          <w:szCs w:val="22"/>
        </w:rPr>
      </w:pPr>
      <w:r w:rsidRPr="007F54FC">
        <w:rPr>
          <w:b/>
          <w:i/>
          <w:iCs/>
          <w:sz w:val="22"/>
          <w:szCs w:val="22"/>
        </w:rPr>
        <w:t>zwischen</w:t>
      </w:r>
    </w:p>
    <w:p w14:paraId="048A5055" w14:textId="19E83495" w:rsidR="007F54FC" w:rsidRPr="007F54FC" w:rsidRDefault="007F54FC" w:rsidP="007F54FC">
      <w:pPr>
        <w:jc w:val="center"/>
        <w:rPr>
          <w:b/>
          <w:i/>
          <w:iCs/>
          <w:sz w:val="22"/>
          <w:szCs w:val="22"/>
        </w:rPr>
      </w:pPr>
      <w:r w:rsidRPr="007F54FC">
        <w:rPr>
          <w:b/>
          <w:i/>
          <w:iCs/>
          <w:sz w:val="22"/>
          <w:szCs w:val="22"/>
        </w:rPr>
        <w:t xml:space="preserve">der </w:t>
      </w:r>
      <w:r>
        <w:rPr>
          <w:b/>
          <w:i/>
          <w:iCs/>
          <w:sz w:val="22"/>
          <w:szCs w:val="22"/>
        </w:rPr>
        <w:t>Dienststelle</w:t>
      </w:r>
      <w:r w:rsidRPr="007F54FC">
        <w:rPr>
          <w:b/>
          <w:i/>
          <w:iCs/>
          <w:sz w:val="22"/>
          <w:szCs w:val="22"/>
        </w:rPr>
        <w:t xml:space="preserve"> .....................</w:t>
      </w:r>
    </w:p>
    <w:p w14:paraId="49387258" w14:textId="65C53C9C" w:rsidR="007F54FC" w:rsidRPr="007F54FC" w:rsidRDefault="007F54FC" w:rsidP="007F54FC">
      <w:pPr>
        <w:jc w:val="center"/>
        <w:rPr>
          <w:b/>
          <w:i/>
          <w:iCs/>
          <w:sz w:val="22"/>
          <w:szCs w:val="22"/>
        </w:rPr>
      </w:pPr>
      <w:r w:rsidRPr="007F54FC">
        <w:rPr>
          <w:b/>
          <w:i/>
          <w:iCs/>
          <w:sz w:val="22"/>
          <w:szCs w:val="22"/>
        </w:rPr>
        <w:t xml:space="preserve">vertreten durch den </w:t>
      </w:r>
      <w:r>
        <w:rPr>
          <w:b/>
          <w:i/>
          <w:iCs/>
          <w:sz w:val="22"/>
          <w:szCs w:val="22"/>
        </w:rPr>
        <w:t>Leiter der Dienststelle</w:t>
      </w:r>
    </w:p>
    <w:p w14:paraId="15876CEB" w14:textId="77777777" w:rsidR="007F54FC" w:rsidRPr="007F54FC" w:rsidRDefault="007F54FC" w:rsidP="007F54FC">
      <w:pPr>
        <w:jc w:val="center"/>
        <w:rPr>
          <w:b/>
          <w:i/>
          <w:iCs/>
          <w:sz w:val="22"/>
          <w:szCs w:val="22"/>
        </w:rPr>
      </w:pPr>
    </w:p>
    <w:p w14:paraId="076A29C6" w14:textId="77777777" w:rsidR="007F54FC" w:rsidRPr="007F54FC" w:rsidRDefault="007F54FC" w:rsidP="007F54FC">
      <w:pPr>
        <w:jc w:val="center"/>
        <w:rPr>
          <w:b/>
          <w:i/>
          <w:iCs/>
          <w:sz w:val="22"/>
          <w:szCs w:val="22"/>
        </w:rPr>
      </w:pPr>
      <w:r w:rsidRPr="007F54FC">
        <w:rPr>
          <w:b/>
          <w:i/>
          <w:iCs/>
          <w:sz w:val="22"/>
          <w:szCs w:val="22"/>
        </w:rPr>
        <w:t>und</w:t>
      </w:r>
    </w:p>
    <w:p w14:paraId="0ED13F77" w14:textId="7F9DB1DB" w:rsidR="007F54FC" w:rsidRPr="007F54FC" w:rsidRDefault="007F54FC" w:rsidP="007F54FC">
      <w:pPr>
        <w:jc w:val="center"/>
        <w:rPr>
          <w:b/>
          <w:i/>
          <w:iCs/>
          <w:sz w:val="22"/>
          <w:szCs w:val="22"/>
        </w:rPr>
      </w:pPr>
      <w:r w:rsidRPr="007F54FC">
        <w:rPr>
          <w:b/>
          <w:i/>
          <w:iCs/>
          <w:sz w:val="22"/>
          <w:szCs w:val="22"/>
        </w:rPr>
        <w:t xml:space="preserve">dem </w:t>
      </w:r>
      <w:r>
        <w:rPr>
          <w:b/>
          <w:i/>
          <w:iCs/>
          <w:sz w:val="22"/>
          <w:szCs w:val="22"/>
        </w:rPr>
        <w:t>Personalrat</w:t>
      </w:r>
      <w:r w:rsidRPr="007F54FC">
        <w:rPr>
          <w:b/>
          <w:i/>
          <w:iCs/>
          <w:sz w:val="22"/>
          <w:szCs w:val="22"/>
        </w:rPr>
        <w:t xml:space="preserve"> ...................</w:t>
      </w:r>
    </w:p>
    <w:p w14:paraId="0C7C63FE" w14:textId="77777777" w:rsidR="007F54FC" w:rsidRPr="007F54FC" w:rsidRDefault="007F54FC" w:rsidP="007F54FC">
      <w:pPr>
        <w:jc w:val="center"/>
        <w:rPr>
          <w:b/>
          <w:i/>
          <w:iCs/>
          <w:sz w:val="22"/>
          <w:szCs w:val="22"/>
        </w:rPr>
      </w:pPr>
      <w:r w:rsidRPr="007F54FC">
        <w:rPr>
          <w:b/>
          <w:i/>
          <w:iCs/>
          <w:sz w:val="22"/>
          <w:szCs w:val="22"/>
        </w:rPr>
        <w:t>vertreten durch den/die Vorsitzende/n</w:t>
      </w:r>
    </w:p>
    <w:p w14:paraId="1B14BDC0" w14:textId="77777777" w:rsidR="007F54FC" w:rsidRPr="007F54FC" w:rsidRDefault="007F54FC" w:rsidP="007F54FC">
      <w:pPr>
        <w:jc w:val="both"/>
        <w:rPr>
          <w:i/>
          <w:iCs/>
          <w:sz w:val="22"/>
          <w:szCs w:val="22"/>
        </w:rPr>
      </w:pPr>
    </w:p>
    <w:p w14:paraId="05C02441" w14:textId="77777777" w:rsidR="007F54FC" w:rsidRPr="007F54FC" w:rsidRDefault="007F54FC" w:rsidP="007F54FC">
      <w:pPr>
        <w:pStyle w:val="berschrift3"/>
        <w:rPr>
          <w:b/>
          <w:bCs/>
          <w:i/>
          <w:iCs/>
        </w:rPr>
      </w:pPr>
      <w:r w:rsidRPr="007F54FC">
        <w:rPr>
          <w:i/>
          <w:iCs/>
        </w:rPr>
        <w:t>zum Einsatz von Videoüberwachungsmaßnahmen am Arbeitsplatz</w:t>
      </w:r>
    </w:p>
    <w:p w14:paraId="373B7940" w14:textId="2565DCBC" w:rsidR="007F54FC" w:rsidRPr="007F54FC" w:rsidRDefault="007F54FC" w:rsidP="007F54FC">
      <w:pPr>
        <w:pStyle w:val="jm1a"/>
        <w:widowControl w:val="0"/>
        <w:rPr>
          <w:rFonts w:ascii="Times New Roman" w:hAnsi="Times New Roman"/>
          <w:i/>
          <w:iCs/>
          <w:sz w:val="22"/>
          <w:szCs w:val="22"/>
        </w:rPr>
      </w:pPr>
      <w:r w:rsidRPr="007F54FC">
        <w:rPr>
          <w:rStyle w:val="jm40"/>
          <w:rFonts w:ascii="Times New Roman" w:hAnsi="Times New Roman"/>
          <w:i/>
          <w:iCs/>
          <w:sz w:val="22"/>
          <w:szCs w:val="22"/>
        </w:rPr>
        <w:t>Vorbemerkung</w:t>
      </w:r>
      <w:r w:rsidRPr="007F54FC">
        <w:rPr>
          <w:rFonts w:ascii="Times New Roman" w:hAnsi="Times New Roman"/>
          <w:i/>
          <w:iCs/>
          <w:sz w:val="22"/>
          <w:szCs w:val="22"/>
        </w:rPr>
        <w:t xml:space="preserve">: Aus Gründen der besseren Lesbarkeit wurde die männliche Sprachform bei der Formulierung dieser </w:t>
      </w:r>
      <w:r>
        <w:rPr>
          <w:rFonts w:ascii="Times New Roman" w:hAnsi="Times New Roman"/>
          <w:i/>
          <w:iCs/>
          <w:sz w:val="22"/>
          <w:szCs w:val="22"/>
        </w:rPr>
        <w:t>Dienst</w:t>
      </w:r>
      <w:r w:rsidRPr="007F54FC">
        <w:rPr>
          <w:rFonts w:ascii="Times New Roman" w:hAnsi="Times New Roman"/>
          <w:i/>
          <w:iCs/>
          <w:sz w:val="22"/>
          <w:szCs w:val="22"/>
        </w:rPr>
        <w:t xml:space="preserve">vereinbarung gewählt. </w:t>
      </w:r>
      <w:r>
        <w:rPr>
          <w:rFonts w:ascii="Times New Roman" w:hAnsi="Times New Roman"/>
          <w:i/>
          <w:iCs/>
          <w:sz w:val="22"/>
          <w:szCs w:val="22"/>
        </w:rPr>
        <w:t>Personalrat</w:t>
      </w:r>
      <w:r w:rsidRPr="007F54FC">
        <w:rPr>
          <w:rFonts w:ascii="Times New Roman" w:hAnsi="Times New Roman"/>
          <w:i/>
          <w:iCs/>
          <w:sz w:val="22"/>
          <w:szCs w:val="22"/>
        </w:rPr>
        <w:t xml:space="preserve"> und </w:t>
      </w:r>
      <w:r>
        <w:rPr>
          <w:rFonts w:ascii="Times New Roman" w:hAnsi="Times New Roman"/>
          <w:i/>
          <w:iCs/>
          <w:sz w:val="22"/>
          <w:szCs w:val="22"/>
        </w:rPr>
        <w:t>Dienststelle</w:t>
      </w:r>
      <w:r w:rsidRPr="007F54FC">
        <w:rPr>
          <w:rFonts w:ascii="Times New Roman" w:hAnsi="Times New Roman"/>
          <w:i/>
          <w:iCs/>
          <w:sz w:val="22"/>
          <w:szCs w:val="22"/>
        </w:rPr>
        <w:t xml:space="preserve"> versichern, dass sie alle Arbeitnehmerinnen und Arbeitnehmer und andere Personen diskriminierungsfrei und gleichberechtigt behandeln werden.</w:t>
      </w:r>
    </w:p>
    <w:p w14:paraId="7FA76975" w14:textId="77777777" w:rsidR="007F54FC" w:rsidRPr="007F54FC" w:rsidRDefault="007F54FC" w:rsidP="007F54FC">
      <w:pPr>
        <w:suppressAutoHyphens/>
        <w:jc w:val="both"/>
        <w:rPr>
          <w:b/>
          <w:i/>
          <w:sz w:val="20"/>
          <w:szCs w:val="20"/>
        </w:rPr>
      </w:pPr>
    </w:p>
    <w:p w14:paraId="5485AC35" w14:textId="7FF4BE5B"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Anlass für den Abschluss dieser </w:t>
      </w:r>
      <w:r>
        <w:rPr>
          <w:rFonts w:eastAsia="Arial"/>
          <w:i/>
          <w:iCs/>
          <w:color w:val="000000"/>
          <w:sz w:val="22"/>
          <w:szCs w:val="22"/>
        </w:rPr>
        <w:t>Dienst</w:t>
      </w:r>
      <w:r w:rsidRPr="007F54FC">
        <w:rPr>
          <w:rFonts w:eastAsia="Arial"/>
          <w:i/>
          <w:iCs/>
          <w:color w:val="000000"/>
          <w:sz w:val="22"/>
          <w:szCs w:val="22"/>
        </w:rPr>
        <w:t xml:space="preserve">vereinbarung ist der Umstand, dass im vergangenen Kalenderjahr die Diebstahls-Quote auf dem </w:t>
      </w:r>
      <w:r>
        <w:rPr>
          <w:rFonts w:eastAsia="Arial"/>
          <w:i/>
          <w:iCs/>
          <w:color w:val="000000"/>
          <w:sz w:val="22"/>
          <w:szCs w:val="22"/>
        </w:rPr>
        <w:t>Dienst</w:t>
      </w:r>
      <w:r w:rsidRPr="007F54FC">
        <w:rPr>
          <w:rFonts w:eastAsia="Arial"/>
          <w:i/>
          <w:iCs/>
          <w:color w:val="000000"/>
          <w:sz w:val="22"/>
          <w:szCs w:val="22"/>
        </w:rPr>
        <w:t xml:space="preserve">gelände um ... % gestiegen und dem </w:t>
      </w:r>
      <w:r>
        <w:rPr>
          <w:rFonts w:eastAsia="Arial"/>
          <w:i/>
          <w:iCs/>
          <w:color w:val="000000"/>
          <w:sz w:val="22"/>
          <w:szCs w:val="22"/>
        </w:rPr>
        <w:t>Dienstherr</w:t>
      </w:r>
      <w:r w:rsidRPr="007F54FC">
        <w:rPr>
          <w:rFonts w:eastAsia="Arial"/>
          <w:i/>
          <w:iCs/>
          <w:color w:val="000000"/>
          <w:sz w:val="22"/>
          <w:szCs w:val="22"/>
        </w:rPr>
        <w:t>n</w:t>
      </w:r>
      <w:r w:rsidRPr="007F54FC">
        <w:rPr>
          <w:rFonts w:eastAsia="Arial"/>
          <w:i/>
          <w:iCs/>
          <w:color w:val="000000"/>
          <w:sz w:val="22"/>
          <w:szCs w:val="22"/>
        </w:rPr>
        <w:t xml:space="preserve"> dadurch ein Schaden in Höhe von insgesamt ... € entstanden ist.</w:t>
      </w:r>
    </w:p>
    <w:p w14:paraId="272C4D17" w14:textId="5E0CA17A"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Diese </w:t>
      </w:r>
      <w:r>
        <w:rPr>
          <w:rFonts w:eastAsia="Arial"/>
          <w:i/>
          <w:iCs/>
          <w:color w:val="000000"/>
          <w:sz w:val="22"/>
          <w:szCs w:val="22"/>
        </w:rPr>
        <w:t>Dienst</w:t>
      </w:r>
      <w:r w:rsidRPr="007F54FC">
        <w:rPr>
          <w:rFonts w:eastAsia="Arial"/>
          <w:i/>
          <w:iCs/>
          <w:color w:val="000000"/>
          <w:sz w:val="22"/>
          <w:szCs w:val="22"/>
        </w:rPr>
        <w:t>vereinbarung gilt für alle Arbeitnehmer de</w:t>
      </w:r>
      <w:r>
        <w:rPr>
          <w:rFonts w:eastAsia="Arial"/>
          <w:i/>
          <w:iCs/>
          <w:color w:val="000000"/>
          <w:sz w:val="22"/>
          <w:szCs w:val="22"/>
        </w:rPr>
        <w:t>r Dienststelle</w:t>
      </w:r>
      <w:r w:rsidRPr="007F54FC">
        <w:rPr>
          <w:rFonts w:eastAsia="Arial"/>
          <w:i/>
          <w:iCs/>
          <w:color w:val="000000"/>
          <w:sz w:val="22"/>
          <w:szCs w:val="22"/>
        </w:rPr>
        <w:t>/für folgende Abteilungen:</w:t>
      </w:r>
    </w:p>
    <w:p w14:paraId="69962B0B" w14:textId="77777777" w:rsidR="007F54FC" w:rsidRPr="007F54FC" w:rsidRDefault="007F54FC" w:rsidP="007F54FC">
      <w:pPr>
        <w:ind w:left="708"/>
        <w:rPr>
          <w:rFonts w:eastAsia="Arial"/>
          <w:i/>
          <w:iCs/>
          <w:color w:val="000000"/>
        </w:rPr>
      </w:pPr>
      <w:r w:rsidRPr="007F54FC">
        <w:rPr>
          <w:rFonts w:eastAsia="Arial"/>
          <w:i/>
          <w:iCs/>
          <w:color w:val="000000"/>
          <w:sz w:val="22"/>
          <w:szCs w:val="22"/>
        </w:rPr>
        <w:t>...</w:t>
      </w:r>
    </w:p>
    <w:p w14:paraId="40FE2DF9" w14:textId="77777777" w:rsidR="007F54FC" w:rsidRPr="007F54FC" w:rsidRDefault="007F54FC" w:rsidP="007F54FC">
      <w:pPr>
        <w:rPr>
          <w:rFonts w:eastAsia="Arial"/>
          <w:i/>
          <w:iCs/>
          <w:color w:val="000000"/>
        </w:rPr>
      </w:pPr>
      <w:r w:rsidRPr="007F54FC">
        <w:rPr>
          <w:rFonts w:eastAsia="Arial"/>
          <w:i/>
          <w:iCs/>
          <w:color w:val="000000"/>
          <w:sz w:val="22"/>
          <w:szCs w:val="22"/>
        </w:rPr>
        <w:tab/>
        <w:t>…</w:t>
      </w:r>
    </w:p>
    <w:p w14:paraId="72366F4A" w14:textId="07E5EC44"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Der Einsatz von Videokameras verfolgt nur den Zweck, Diebstähle auf dem </w:t>
      </w:r>
      <w:r>
        <w:rPr>
          <w:rFonts w:eastAsia="Arial"/>
          <w:i/>
          <w:iCs/>
          <w:color w:val="000000"/>
          <w:sz w:val="22"/>
          <w:szCs w:val="22"/>
        </w:rPr>
        <w:t>Dienst</w:t>
      </w:r>
      <w:r w:rsidRPr="007F54FC">
        <w:rPr>
          <w:rFonts w:eastAsia="Arial"/>
          <w:i/>
          <w:iCs/>
          <w:color w:val="000000"/>
          <w:sz w:val="22"/>
          <w:szCs w:val="22"/>
        </w:rPr>
        <w:t xml:space="preserve">gelände zu verhindern (Anm. 3). </w:t>
      </w:r>
      <w:r>
        <w:rPr>
          <w:rFonts w:eastAsia="Arial"/>
          <w:i/>
          <w:iCs/>
          <w:color w:val="000000"/>
          <w:sz w:val="22"/>
          <w:szCs w:val="22"/>
        </w:rPr>
        <w:t>Dienststellenleitung</w:t>
      </w:r>
      <w:r w:rsidRPr="007F54FC">
        <w:rPr>
          <w:rFonts w:eastAsia="Arial"/>
          <w:i/>
          <w:iCs/>
          <w:color w:val="000000"/>
          <w:sz w:val="22"/>
          <w:szCs w:val="22"/>
        </w:rPr>
        <w:t xml:space="preserve"> und </w:t>
      </w:r>
      <w:r>
        <w:rPr>
          <w:rFonts w:eastAsia="Arial"/>
          <w:i/>
          <w:iCs/>
          <w:color w:val="000000"/>
          <w:sz w:val="22"/>
          <w:szCs w:val="22"/>
        </w:rPr>
        <w:t>Personal</w:t>
      </w:r>
      <w:r w:rsidRPr="007F54FC">
        <w:rPr>
          <w:rFonts w:eastAsia="Arial"/>
          <w:i/>
          <w:iCs/>
          <w:color w:val="000000"/>
          <w:sz w:val="22"/>
          <w:szCs w:val="22"/>
        </w:rPr>
        <w:t>rat sind sich einig, dass zurzeit kein milderes, genauso wirksames Überwachungsinstrument zur Verfügung steht. Das Überwachungssystem darf nicht zu anderen Zwecken, insbesondere nicht zur Leistungs- oder Verhaltenskontrolle von Mitarbeitern benutzt werden.</w:t>
      </w:r>
    </w:p>
    <w:p w14:paraId="2D584ED0" w14:textId="77777777"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Die Position und Reichweite der einzelnen Kameras </w:t>
      </w:r>
      <w:proofErr w:type="gramStart"/>
      <w:r w:rsidRPr="007F54FC">
        <w:rPr>
          <w:rFonts w:eastAsia="Arial"/>
          <w:i/>
          <w:iCs/>
          <w:color w:val="000000"/>
          <w:sz w:val="22"/>
          <w:szCs w:val="22"/>
        </w:rPr>
        <w:t>ergibt</w:t>
      </w:r>
      <w:proofErr w:type="gramEnd"/>
      <w:r w:rsidRPr="007F54FC">
        <w:rPr>
          <w:rFonts w:eastAsia="Arial"/>
          <w:i/>
          <w:iCs/>
          <w:color w:val="000000"/>
          <w:sz w:val="22"/>
          <w:szCs w:val="22"/>
        </w:rPr>
        <w:t xml:space="preserve"> sich auf der als Anlage beigefügten Skizze. Eingesetzt werden folgende Geräte: </w:t>
      </w:r>
      <w:proofErr w:type="gramStart"/>
      <w:r w:rsidRPr="007F54FC">
        <w:rPr>
          <w:rFonts w:eastAsia="Arial"/>
          <w:i/>
          <w:iCs/>
          <w:color w:val="000000"/>
          <w:sz w:val="22"/>
          <w:szCs w:val="22"/>
        </w:rPr>
        <w:t>… .</w:t>
      </w:r>
      <w:proofErr w:type="gramEnd"/>
    </w:p>
    <w:p w14:paraId="2FD44ED1" w14:textId="5FE7ABE8"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Eine Speicherung der Bilddaten ist außer zu dem unter Ziff. </w:t>
      </w:r>
      <w:r>
        <w:rPr>
          <w:rFonts w:eastAsia="Arial"/>
          <w:i/>
          <w:iCs/>
          <w:color w:val="000000"/>
          <w:sz w:val="22"/>
          <w:szCs w:val="22"/>
        </w:rPr>
        <w:t>3</w:t>
      </w:r>
      <w:r w:rsidRPr="007F54FC">
        <w:rPr>
          <w:rFonts w:eastAsia="Arial"/>
          <w:i/>
          <w:iCs/>
          <w:color w:val="000000"/>
          <w:sz w:val="22"/>
          <w:szCs w:val="22"/>
        </w:rPr>
        <w:t xml:space="preserve"> genannten Zweck nicht zulässig. Die Verarbeitung der Daten ist nur innerbetrieblich möglich, eine Weitergabe der Daten an Dritte ist unzulässig. Zum Zwecke der Strafverfolgung dürfen die Daten an die Polizei weitergegeben werden, wenn eine Straftat vorliegt.</w:t>
      </w:r>
    </w:p>
    <w:p w14:paraId="7EE065D0" w14:textId="476B8C47"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Die Videobänder sind so aufzubewahren, dass Unbefugte keine Zugriffsmöglichkeit haben. Eine Berechtigung zur Nutzung haben nur die nachfolgenden Personen: ... Zugriff darf von den genannten Personen nur im Beisein eines </w:t>
      </w:r>
      <w:r>
        <w:rPr>
          <w:rFonts w:eastAsia="Arial"/>
          <w:i/>
          <w:iCs/>
          <w:color w:val="000000"/>
          <w:sz w:val="22"/>
          <w:szCs w:val="22"/>
        </w:rPr>
        <w:t>Personal</w:t>
      </w:r>
      <w:r w:rsidRPr="007F54FC">
        <w:rPr>
          <w:rFonts w:eastAsia="Arial"/>
          <w:i/>
          <w:iCs/>
          <w:color w:val="000000"/>
          <w:sz w:val="22"/>
          <w:szCs w:val="22"/>
        </w:rPr>
        <w:t>ratsmitgliedes genommen werden.</w:t>
      </w:r>
    </w:p>
    <w:p w14:paraId="01AEDE1E" w14:textId="77777777"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Die erhobenen Daten sind unverzüglich, spätestens ... Tage nach der Aufnahme zu löschen, d. h. unkenntlich zu machen.</w:t>
      </w:r>
    </w:p>
    <w:p w14:paraId="2C8BDAA0" w14:textId="77777777"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Die Mitarbeiter sind vor dem ersten Einsatz der Videokameras über den Zweck, den Einsatz, die Positionen und die Reichweite des Überwachungssystems umfassend zu informieren. Eine heimliche Beobachtung der Beschäftigten z. B. durch eine versteckte Kamera ist unzulässig.</w:t>
      </w:r>
    </w:p>
    <w:p w14:paraId="0C4EE8AC" w14:textId="1BA2049D"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Dem </w:t>
      </w:r>
      <w:r>
        <w:rPr>
          <w:rFonts w:eastAsia="Arial"/>
          <w:i/>
          <w:iCs/>
          <w:color w:val="000000"/>
          <w:sz w:val="22"/>
          <w:szCs w:val="22"/>
        </w:rPr>
        <w:t>Personal</w:t>
      </w:r>
      <w:r w:rsidRPr="007F54FC">
        <w:rPr>
          <w:rFonts w:eastAsia="Arial"/>
          <w:i/>
          <w:iCs/>
          <w:color w:val="000000"/>
          <w:sz w:val="22"/>
          <w:szCs w:val="22"/>
        </w:rPr>
        <w:t xml:space="preserve">rat steht das Recht zu, zu Kontrollzwecken jederzeit unangemeldet die Räume zu betreten, in denen die Monitore stehen. Der Sicherheitsdienst ist verpflichtet, dem </w:t>
      </w:r>
      <w:r>
        <w:rPr>
          <w:rFonts w:eastAsia="Arial"/>
          <w:i/>
          <w:iCs/>
          <w:color w:val="000000"/>
          <w:sz w:val="22"/>
          <w:szCs w:val="22"/>
        </w:rPr>
        <w:t>Personal</w:t>
      </w:r>
      <w:r w:rsidRPr="007F54FC">
        <w:rPr>
          <w:rFonts w:eastAsia="Arial"/>
          <w:i/>
          <w:iCs/>
          <w:color w:val="000000"/>
          <w:sz w:val="22"/>
          <w:szCs w:val="22"/>
        </w:rPr>
        <w:t>rat Auskunft zu geben.</w:t>
      </w:r>
    </w:p>
    <w:p w14:paraId="4A40CFF9" w14:textId="6341CB5B"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Soweit die Überwachungsanlage geändert, erweitert oder erneuert werden soll, ist der </w:t>
      </w:r>
      <w:r>
        <w:rPr>
          <w:rFonts w:eastAsia="Arial"/>
          <w:i/>
          <w:iCs/>
          <w:color w:val="000000"/>
          <w:sz w:val="22"/>
          <w:szCs w:val="22"/>
        </w:rPr>
        <w:t>Personal</w:t>
      </w:r>
      <w:r w:rsidRPr="007F54FC">
        <w:rPr>
          <w:rFonts w:eastAsia="Arial"/>
          <w:i/>
          <w:iCs/>
          <w:color w:val="000000"/>
          <w:sz w:val="22"/>
          <w:szCs w:val="22"/>
        </w:rPr>
        <w:t xml:space="preserve">rat bereits im Planungsstadium zu beteiligen, damit er Vorschläge machen und Bedenken anbringen kann. Der </w:t>
      </w:r>
      <w:r>
        <w:rPr>
          <w:rFonts w:eastAsia="Arial"/>
          <w:i/>
          <w:iCs/>
          <w:color w:val="000000"/>
          <w:sz w:val="22"/>
          <w:szCs w:val="22"/>
        </w:rPr>
        <w:t>Personal</w:t>
      </w:r>
      <w:r w:rsidRPr="007F54FC">
        <w:rPr>
          <w:rFonts w:eastAsia="Arial"/>
          <w:i/>
          <w:iCs/>
          <w:color w:val="000000"/>
          <w:sz w:val="22"/>
          <w:szCs w:val="22"/>
        </w:rPr>
        <w:t>rat wird seine Zustimmung nur erteilen, wenn d</w:t>
      </w:r>
      <w:r>
        <w:rPr>
          <w:rFonts w:eastAsia="Arial"/>
          <w:i/>
          <w:iCs/>
          <w:color w:val="000000"/>
          <w:sz w:val="22"/>
          <w:szCs w:val="22"/>
        </w:rPr>
        <w:t xml:space="preserve">ie Dienststellenleitung </w:t>
      </w:r>
      <w:r w:rsidRPr="007F54FC">
        <w:rPr>
          <w:rFonts w:eastAsia="Arial"/>
          <w:i/>
          <w:iCs/>
          <w:color w:val="000000"/>
          <w:sz w:val="22"/>
          <w:szCs w:val="22"/>
        </w:rPr>
        <w:t>darlegen kann, dass andere Mittel zur Verhütung von Straftaten nicht zur Verfügung stehen.</w:t>
      </w:r>
    </w:p>
    <w:p w14:paraId="337753DB" w14:textId="77777777"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lastRenderedPageBreak/>
        <w:t>Sobald alternative und genauso wirksame Mittel auf den Markt kommen, die den Kontrolldruck für die Mitarbeiter verringern, ist der Einsatz von Video-Überwachungsanlagen nicht mehr erforderlich und muss beendet werden.</w:t>
      </w:r>
    </w:p>
    <w:p w14:paraId="03D8CE95" w14:textId="47D6CE24" w:rsidR="007F54FC" w:rsidRPr="007F54FC" w:rsidRDefault="007F54FC" w:rsidP="007F54FC">
      <w:pPr>
        <w:numPr>
          <w:ilvl w:val="0"/>
          <w:numId w:val="56"/>
        </w:numPr>
        <w:rPr>
          <w:rFonts w:eastAsia="Arial"/>
          <w:i/>
          <w:iCs/>
          <w:color w:val="000000"/>
        </w:rPr>
      </w:pPr>
      <w:r w:rsidRPr="007F54FC">
        <w:rPr>
          <w:rFonts w:eastAsia="Arial"/>
          <w:i/>
          <w:iCs/>
          <w:color w:val="000000"/>
          <w:sz w:val="22"/>
          <w:szCs w:val="22"/>
        </w:rPr>
        <w:t xml:space="preserve">Diese </w:t>
      </w:r>
      <w:r>
        <w:rPr>
          <w:rFonts w:eastAsia="Arial"/>
          <w:i/>
          <w:iCs/>
          <w:color w:val="000000"/>
          <w:sz w:val="22"/>
          <w:szCs w:val="22"/>
        </w:rPr>
        <w:t>Dienst</w:t>
      </w:r>
      <w:r w:rsidRPr="007F54FC">
        <w:rPr>
          <w:rFonts w:eastAsia="Arial"/>
          <w:i/>
          <w:iCs/>
          <w:color w:val="000000"/>
          <w:sz w:val="22"/>
          <w:szCs w:val="22"/>
        </w:rPr>
        <w:t>vereinbarung tritt mit dem Tage der Unterzeichnung in Kraft und kann von beiden Seiten mit einer Frist von ... Monaten gekündigt werden.</w:t>
      </w:r>
    </w:p>
    <w:p w14:paraId="2F79CB53" w14:textId="77777777" w:rsidR="007F54FC" w:rsidRPr="007F54FC" w:rsidRDefault="007F54FC" w:rsidP="007F54FC">
      <w:pPr>
        <w:jc w:val="both"/>
        <w:rPr>
          <w:i/>
          <w:iCs/>
          <w:sz w:val="22"/>
          <w:szCs w:val="22"/>
        </w:rPr>
      </w:pPr>
    </w:p>
    <w:p w14:paraId="6E79F489" w14:textId="0F7F1C76" w:rsidR="007F54FC" w:rsidRPr="00C311FA" w:rsidRDefault="007F54FC" w:rsidP="007F54FC">
      <w:pPr>
        <w:jc w:val="both"/>
        <w:rPr>
          <w:i/>
          <w:iCs/>
          <w:sz w:val="22"/>
          <w:szCs w:val="22"/>
        </w:rPr>
      </w:pPr>
      <w:r>
        <w:rPr>
          <w:i/>
          <w:iCs/>
          <w:sz w:val="22"/>
          <w:szCs w:val="22"/>
        </w:rPr>
        <w:t>Dienststellenleitung</w:t>
      </w:r>
      <w:r w:rsidRPr="007F54FC">
        <w:rPr>
          <w:i/>
          <w:iCs/>
          <w:sz w:val="22"/>
          <w:szCs w:val="22"/>
        </w:rPr>
        <w:tab/>
      </w:r>
      <w:r w:rsidRPr="007F54FC">
        <w:rPr>
          <w:i/>
          <w:iCs/>
          <w:sz w:val="22"/>
          <w:szCs w:val="22"/>
        </w:rPr>
        <w:tab/>
      </w:r>
      <w:r w:rsidRPr="007F54FC">
        <w:rPr>
          <w:i/>
          <w:iCs/>
          <w:sz w:val="22"/>
          <w:szCs w:val="22"/>
        </w:rPr>
        <w:tab/>
      </w:r>
      <w:r>
        <w:rPr>
          <w:i/>
          <w:iCs/>
          <w:sz w:val="22"/>
          <w:szCs w:val="22"/>
        </w:rPr>
        <w:t>Personal</w:t>
      </w:r>
      <w:r w:rsidRPr="007F54FC">
        <w:rPr>
          <w:i/>
          <w:iCs/>
          <w:sz w:val="22"/>
          <w:szCs w:val="22"/>
        </w:rPr>
        <w:t>ratsvorsitzende(r)</w:t>
      </w:r>
    </w:p>
    <w:p w14:paraId="4BC8B9D6" w14:textId="77777777" w:rsidR="003108BF" w:rsidRPr="00E92668" w:rsidRDefault="003108BF" w:rsidP="003108BF">
      <w:pPr>
        <w:pStyle w:val="AufzZahlmanuell"/>
        <w:rPr>
          <w:rFonts w:ascii="Times New Roman" w:hAnsi="Times New Roman" w:cs="Times New Roman"/>
          <w:sz w:val="22"/>
          <w:szCs w:val="22"/>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E4500A"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672CEB">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8F8D" w14:textId="77777777" w:rsidR="00B55B76" w:rsidRDefault="00B55B76" w:rsidP="00BF7674">
      <w:r>
        <w:separator/>
      </w:r>
    </w:p>
  </w:endnote>
  <w:endnote w:type="continuationSeparator" w:id="0">
    <w:p w14:paraId="511322CF" w14:textId="77777777" w:rsidR="00B55B76" w:rsidRDefault="00B55B7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D539" w14:textId="77777777" w:rsidR="00B55B76" w:rsidRDefault="00B55B76" w:rsidP="00BF7674">
      <w:r>
        <w:separator/>
      </w:r>
    </w:p>
  </w:footnote>
  <w:footnote w:type="continuationSeparator" w:id="0">
    <w:p w14:paraId="197BCB51" w14:textId="77777777" w:rsidR="00B55B76" w:rsidRDefault="00B55B7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3"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2"/>
  </w:num>
  <w:num w:numId="2" w16cid:durableId="573013156">
    <w:abstractNumId w:val="46"/>
  </w:num>
  <w:num w:numId="3" w16cid:durableId="1779830718">
    <w:abstractNumId w:val="14"/>
  </w:num>
  <w:num w:numId="4" w16cid:durableId="725178237">
    <w:abstractNumId w:val="38"/>
  </w:num>
  <w:num w:numId="5" w16cid:durableId="220294192">
    <w:abstractNumId w:val="49"/>
  </w:num>
  <w:num w:numId="6" w16cid:durableId="930698965">
    <w:abstractNumId w:val="50"/>
  </w:num>
  <w:num w:numId="7" w16cid:durableId="1217887320">
    <w:abstractNumId w:val="53"/>
  </w:num>
  <w:num w:numId="8" w16cid:durableId="1581284903">
    <w:abstractNumId w:val="45"/>
  </w:num>
  <w:num w:numId="9" w16cid:durableId="2043164235">
    <w:abstractNumId w:val="43"/>
  </w:num>
  <w:num w:numId="10" w16cid:durableId="359477797">
    <w:abstractNumId w:val="23"/>
  </w:num>
  <w:num w:numId="11" w16cid:durableId="2118863191">
    <w:abstractNumId w:val="44"/>
  </w:num>
  <w:num w:numId="12" w16cid:durableId="1105073630">
    <w:abstractNumId w:val="15"/>
  </w:num>
  <w:num w:numId="13" w16cid:durableId="501816211">
    <w:abstractNumId w:val="5"/>
  </w:num>
  <w:num w:numId="14" w16cid:durableId="2087798823">
    <w:abstractNumId w:val="26"/>
  </w:num>
  <w:num w:numId="15" w16cid:durableId="1222252971">
    <w:abstractNumId w:val="11"/>
  </w:num>
  <w:num w:numId="16" w16cid:durableId="1880429248">
    <w:abstractNumId w:val="36"/>
  </w:num>
  <w:num w:numId="17" w16cid:durableId="2064789847">
    <w:abstractNumId w:val="1"/>
  </w:num>
  <w:num w:numId="18" w16cid:durableId="1674608018">
    <w:abstractNumId w:val="29"/>
  </w:num>
  <w:num w:numId="19" w16cid:durableId="1719551836">
    <w:abstractNumId w:val="34"/>
  </w:num>
  <w:num w:numId="20" w16cid:durableId="1244490335">
    <w:abstractNumId w:val="3"/>
  </w:num>
  <w:num w:numId="21" w16cid:durableId="177737794">
    <w:abstractNumId w:val="20"/>
  </w:num>
  <w:num w:numId="22" w16cid:durableId="917902633">
    <w:abstractNumId w:val="10"/>
  </w:num>
  <w:num w:numId="23" w16cid:durableId="373698778">
    <w:abstractNumId w:val="16"/>
  </w:num>
  <w:num w:numId="24" w16cid:durableId="1589269503">
    <w:abstractNumId w:val="13"/>
  </w:num>
  <w:num w:numId="25" w16cid:durableId="429205834">
    <w:abstractNumId w:val="6"/>
  </w:num>
  <w:num w:numId="26" w16cid:durableId="762335405">
    <w:abstractNumId w:val="4"/>
  </w:num>
  <w:num w:numId="27" w16cid:durableId="1625384825">
    <w:abstractNumId w:val="28"/>
  </w:num>
  <w:num w:numId="28" w16cid:durableId="1697072466">
    <w:abstractNumId w:val="19"/>
  </w:num>
  <w:num w:numId="29" w16cid:durableId="630015363">
    <w:abstractNumId w:val="21"/>
  </w:num>
  <w:num w:numId="30" w16cid:durableId="1777211645">
    <w:abstractNumId w:val="25"/>
  </w:num>
  <w:num w:numId="31" w16cid:durableId="1223832647">
    <w:abstractNumId w:val="39"/>
  </w:num>
  <w:num w:numId="32" w16cid:durableId="1128670099">
    <w:abstractNumId w:val="47"/>
  </w:num>
  <w:num w:numId="33" w16cid:durableId="1417821402">
    <w:abstractNumId w:val="18"/>
  </w:num>
  <w:num w:numId="34" w16cid:durableId="1393113635">
    <w:abstractNumId w:val="40"/>
  </w:num>
  <w:num w:numId="35" w16cid:durableId="919750748">
    <w:abstractNumId w:val="27"/>
  </w:num>
  <w:num w:numId="36" w16cid:durableId="430861448">
    <w:abstractNumId w:val="51"/>
  </w:num>
  <w:num w:numId="37" w16cid:durableId="1799226588">
    <w:abstractNumId w:val="51"/>
  </w:num>
  <w:num w:numId="38" w16cid:durableId="1329752621">
    <w:abstractNumId w:val="35"/>
  </w:num>
  <w:num w:numId="39" w16cid:durableId="621425610">
    <w:abstractNumId w:val="30"/>
  </w:num>
  <w:num w:numId="40" w16cid:durableId="2028360859">
    <w:abstractNumId w:val="54"/>
  </w:num>
  <w:num w:numId="41" w16cid:durableId="1736853224">
    <w:abstractNumId w:val="31"/>
  </w:num>
  <w:num w:numId="42" w16cid:durableId="78332183">
    <w:abstractNumId w:val="24"/>
  </w:num>
  <w:num w:numId="43" w16cid:durableId="1423837091">
    <w:abstractNumId w:val="0"/>
  </w:num>
  <w:num w:numId="44" w16cid:durableId="1430586683">
    <w:abstractNumId w:val="8"/>
  </w:num>
  <w:num w:numId="45" w16cid:durableId="1422872476">
    <w:abstractNumId w:val="9"/>
  </w:num>
  <w:num w:numId="46" w16cid:durableId="1355183361">
    <w:abstractNumId w:val="12"/>
  </w:num>
  <w:num w:numId="47" w16cid:durableId="669597700">
    <w:abstractNumId w:val="33"/>
  </w:num>
  <w:num w:numId="48" w16cid:durableId="446312732">
    <w:abstractNumId w:val="42"/>
  </w:num>
  <w:num w:numId="49" w16cid:durableId="39791684">
    <w:abstractNumId w:val="32"/>
  </w:num>
  <w:num w:numId="50" w16cid:durableId="117527703">
    <w:abstractNumId w:val="41"/>
  </w:num>
  <w:num w:numId="51" w16cid:durableId="1617131525">
    <w:abstractNumId w:val="37"/>
  </w:num>
  <w:num w:numId="52" w16cid:durableId="372117226">
    <w:abstractNumId w:val="17"/>
  </w:num>
  <w:num w:numId="53" w16cid:durableId="1680042876">
    <w:abstractNumId w:val="7"/>
  </w:num>
  <w:num w:numId="54" w16cid:durableId="723678726">
    <w:abstractNumId w:val="22"/>
  </w:num>
  <w:num w:numId="55" w16cid:durableId="591357925">
    <w:abstractNumId w:val="2"/>
  </w:num>
  <w:num w:numId="56" w16cid:durableId="1969430323">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2023-07-24T07:15:00Z</dcterms:created>
  <dcterms:modified xsi:type="dcterms:W3CDTF">2023-07-24T07:15:00Z</dcterms:modified>
</cp:coreProperties>
</file>