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5245" w14:textId="77777777" w:rsidR="00437C22" w:rsidRPr="00E92668" w:rsidRDefault="00437C22" w:rsidP="00437C22">
      <w:pPr>
        <w:pStyle w:val="PNLSubhead"/>
        <w:outlineLvl w:val="0"/>
      </w:pPr>
      <w:r w:rsidRPr="00E92668">
        <w:t>Schnell-Check: Bei diesen Verstößen wird die Meldung jetzt erleichtert</w:t>
      </w:r>
    </w:p>
    <w:tbl>
      <w:tblPr>
        <w:tblStyle w:val="Tabellenraster"/>
        <w:tblW w:w="0" w:type="auto"/>
        <w:tblLook w:val="04A0" w:firstRow="1" w:lastRow="0" w:firstColumn="1" w:lastColumn="0" w:noHBand="0" w:noVBand="1"/>
      </w:tblPr>
      <w:tblGrid>
        <w:gridCol w:w="6925"/>
        <w:gridCol w:w="1080"/>
        <w:gridCol w:w="1051"/>
      </w:tblGrid>
      <w:tr w:rsidR="00437C22" w:rsidRPr="00E92668" w14:paraId="7106ACAC" w14:textId="77777777" w:rsidTr="00497C99">
        <w:tc>
          <w:tcPr>
            <w:tcW w:w="6925" w:type="dxa"/>
          </w:tcPr>
          <w:p w14:paraId="146BFECE" w14:textId="77777777" w:rsidR="00437C22" w:rsidRPr="00E92668" w:rsidRDefault="00437C22" w:rsidP="00497C99">
            <w:pPr>
              <w:autoSpaceDE w:val="0"/>
              <w:autoSpaceDN w:val="0"/>
              <w:adjustRightInd w:val="0"/>
              <w:jc w:val="both"/>
              <w:rPr>
                <w:sz w:val="22"/>
                <w:szCs w:val="22"/>
                <w:lang w:eastAsia="de-DE"/>
              </w:rPr>
            </w:pPr>
            <w:r w:rsidRPr="00E92668">
              <w:rPr>
                <w:sz w:val="22"/>
                <w:szCs w:val="22"/>
                <w:lang w:eastAsia="de-DE"/>
              </w:rPr>
              <w:t>Hat eine Kollegin oder ein Kollege von einem der nachfolgenden Verstöße erfahren? Also zum Beispiel um einen Verstoß</w:t>
            </w:r>
          </w:p>
        </w:tc>
        <w:tc>
          <w:tcPr>
            <w:tcW w:w="1080" w:type="dxa"/>
          </w:tcPr>
          <w:p w14:paraId="0E1AE13B" w14:textId="77777777" w:rsidR="00437C22" w:rsidRPr="00E92668" w:rsidRDefault="00437C22" w:rsidP="00497C99">
            <w:pPr>
              <w:autoSpaceDE w:val="0"/>
              <w:autoSpaceDN w:val="0"/>
              <w:adjustRightInd w:val="0"/>
              <w:jc w:val="center"/>
              <w:rPr>
                <w:b/>
                <w:bCs/>
                <w:sz w:val="22"/>
                <w:szCs w:val="22"/>
                <w:lang w:eastAsia="de-DE"/>
              </w:rPr>
            </w:pPr>
            <w:r w:rsidRPr="00E92668">
              <w:rPr>
                <w:b/>
                <w:bCs/>
                <w:sz w:val="22"/>
                <w:szCs w:val="22"/>
                <w:lang w:eastAsia="de-DE"/>
              </w:rPr>
              <w:t>Ja</w:t>
            </w:r>
          </w:p>
        </w:tc>
        <w:tc>
          <w:tcPr>
            <w:tcW w:w="1051" w:type="dxa"/>
          </w:tcPr>
          <w:p w14:paraId="383F5758" w14:textId="77777777" w:rsidR="00437C22" w:rsidRPr="00E92668" w:rsidRDefault="00437C22" w:rsidP="00497C99">
            <w:pPr>
              <w:autoSpaceDE w:val="0"/>
              <w:autoSpaceDN w:val="0"/>
              <w:adjustRightInd w:val="0"/>
              <w:jc w:val="center"/>
              <w:rPr>
                <w:b/>
                <w:bCs/>
                <w:sz w:val="22"/>
                <w:szCs w:val="22"/>
                <w:lang w:eastAsia="de-DE"/>
              </w:rPr>
            </w:pPr>
            <w:r w:rsidRPr="00E92668">
              <w:rPr>
                <w:b/>
                <w:bCs/>
                <w:sz w:val="22"/>
                <w:szCs w:val="22"/>
                <w:lang w:eastAsia="de-DE"/>
              </w:rPr>
              <w:t>Nein</w:t>
            </w:r>
          </w:p>
        </w:tc>
      </w:tr>
      <w:tr w:rsidR="00437C22" w:rsidRPr="00E92668" w14:paraId="22AEE455" w14:textId="77777777" w:rsidTr="00497C99">
        <w:tc>
          <w:tcPr>
            <w:tcW w:w="6925" w:type="dxa"/>
          </w:tcPr>
          <w:p w14:paraId="281B3D4B"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der strafbewehrt ist,</w:t>
            </w:r>
          </w:p>
        </w:tc>
        <w:tc>
          <w:tcPr>
            <w:tcW w:w="1080" w:type="dxa"/>
          </w:tcPr>
          <w:p w14:paraId="380B34FF"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20FCF0CE"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746D1388" w14:textId="77777777" w:rsidTr="00497C99">
        <w:tc>
          <w:tcPr>
            <w:tcW w:w="6925" w:type="dxa"/>
          </w:tcPr>
          <w:p w14:paraId="2A7A4E06"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bei dem ein Bußgeld droht, soweit die verletzte Vorschrift dem Schutz von Leben, Leib oder Gesundheit oder dem Schutz der Rechte von Beschäftigten oder ihrer Vertretungsorgane dient,</w:t>
            </w:r>
          </w:p>
        </w:tc>
        <w:tc>
          <w:tcPr>
            <w:tcW w:w="1080" w:type="dxa"/>
          </w:tcPr>
          <w:p w14:paraId="310FF80C"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CABC338"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247600F4" w14:textId="77777777" w:rsidTr="00497C99">
        <w:tc>
          <w:tcPr>
            <w:tcW w:w="6925" w:type="dxa"/>
          </w:tcPr>
          <w:p w14:paraId="17934098"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Rechtsvorschriften des Bundes, der Länder oder der EU, wie zum Beispiel gegen das Arbeitszeit- oder Arbeitsschutzgesetz,</w:t>
            </w:r>
          </w:p>
        </w:tc>
        <w:tc>
          <w:tcPr>
            <w:tcW w:w="1080" w:type="dxa"/>
          </w:tcPr>
          <w:p w14:paraId="0721C82F"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3609790F"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26DFFF6F" w14:textId="77777777" w:rsidTr="00497C99">
        <w:tc>
          <w:tcPr>
            <w:tcW w:w="6925" w:type="dxa"/>
          </w:tcPr>
          <w:p w14:paraId="5E0F5593"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die Bekämpfung von Geldwäsche,</w:t>
            </w:r>
          </w:p>
        </w:tc>
        <w:tc>
          <w:tcPr>
            <w:tcW w:w="1080" w:type="dxa"/>
          </w:tcPr>
          <w:p w14:paraId="0D52C671"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3B938EF4" w14:textId="77777777" w:rsidR="00437C22" w:rsidRPr="00E92668" w:rsidRDefault="00437C22" w:rsidP="00497C99">
            <w:pPr>
              <w:autoSpaceDE w:val="0"/>
              <w:autoSpaceDN w:val="0"/>
              <w:adjustRightInd w:val="0"/>
              <w:jc w:val="center"/>
              <w:rPr>
                <w:sz w:val="22"/>
                <w:szCs w:val="22"/>
                <w:lang w:eastAsia="de-DE"/>
              </w:rPr>
            </w:pPr>
          </w:p>
        </w:tc>
      </w:tr>
      <w:tr w:rsidR="00437C22" w:rsidRPr="00E92668" w14:paraId="757D48E4" w14:textId="77777777" w:rsidTr="00497C99">
        <w:tc>
          <w:tcPr>
            <w:tcW w:w="6925" w:type="dxa"/>
          </w:tcPr>
          <w:p w14:paraId="7A57022A"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Vorgaben zur Produktsicherheit,</w:t>
            </w:r>
          </w:p>
        </w:tc>
        <w:tc>
          <w:tcPr>
            <w:tcW w:w="1080" w:type="dxa"/>
          </w:tcPr>
          <w:p w14:paraId="76FAF1FA"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1421F33E"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6B0862E2" w14:textId="77777777" w:rsidTr="00497C99">
        <w:tc>
          <w:tcPr>
            <w:tcW w:w="6925" w:type="dxa"/>
          </w:tcPr>
          <w:p w14:paraId="62625BF2"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Vorschriften zur Sicherheit im Straßen-, See-, Luft- oder Eisenbahnverkehr, wie zum Beispiel bei der Überschreitung von Lenkzeiten,</w:t>
            </w:r>
          </w:p>
        </w:tc>
        <w:tc>
          <w:tcPr>
            <w:tcW w:w="1080" w:type="dxa"/>
          </w:tcPr>
          <w:p w14:paraId="726E3C30"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0A07DF26" w14:textId="77777777" w:rsidR="00437C22" w:rsidRPr="00E92668" w:rsidRDefault="00437C22" w:rsidP="00497C99">
            <w:pPr>
              <w:autoSpaceDE w:val="0"/>
              <w:autoSpaceDN w:val="0"/>
              <w:adjustRightInd w:val="0"/>
              <w:jc w:val="center"/>
              <w:rPr>
                <w:sz w:val="22"/>
                <w:szCs w:val="22"/>
                <w:lang w:eastAsia="de-DE"/>
              </w:rPr>
            </w:pPr>
          </w:p>
        </w:tc>
      </w:tr>
      <w:tr w:rsidR="00437C22" w:rsidRPr="00E92668" w14:paraId="73E9D6E9" w14:textId="77777777" w:rsidTr="00497C99">
        <w:tc>
          <w:tcPr>
            <w:tcW w:w="6925" w:type="dxa"/>
          </w:tcPr>
          <w:p w14:paraId="3BC66D24"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Umweltschutzvorschriften,</w:t>
            </w:r>
          </w:p>
        </w:tc>
        <w:tc>
          <w:tcPr>
            <w:tcW w:w="1080" w:type="dxa"/>
          </w:tcPr>
          <w:p w14:paraId="4655CD47"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64B0F668"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753B5821" w14:textId="77777777" w:rsidTr="00497C99">
        <w:tc>
          <w:tcPr>
            <w:tcW w:w="6925" w:type="dxa"/>
          </w:tcPr>
          <w:p w14:paraId="6CE68E65"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die Lebens- und Futtermittelsicherheit,</w:t>
            </w:r>
          </w:p>
        </w:tc>
        <w:tc>
          <w:tcPr>
            <w:tcW w:w="1080" w:type="dxa"/>
          </w:tcPr>
          <w:p w14:paraId="63F1AC27"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96650EC" w14:textId="77777777" w:rsidR="00437C22" w:rsidRPr="00E92668" w:rsidRDefault="00437C22" w:rsidP="00497C99">
            <w:pPr>
              <w:autoSpaceDE w:val="0"/>
              <w:autoSpaceDN w:val="0"/>
              <w:adjustRightInd w:val="0"/>
              <w:jc w:val="center"/>
              <w:rPr>
                <w:sz w:val="22"/>
                <w:szCs w:val="22"/>
                <w:lang w:eastAsia="de-DE"/>
              </w:rPr>
            </w:pPr>
          </w:p>
        </w:tc>
      </w:tr>
      <w:tr w:rsidR="00437C22" w:rsidRPr="00E92668" w14:paraId="5A8644A6" w14:textId="77777777" w:rsidTr="00497C99">
        <w:tc>
          <w:tcPr>
            <w:tcW w:w="6925" w:type="dxa"/>
          </w:tcPr>
          <w:p w14:paraId="00B0E77F"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Qualitäts- und Sicherheitsstandards,</w:t>
            </w:r>
          </w:p>
        </w:tc>
        <w:tc>
          <w:tcPr>
            <w:tcW w:w="1080" w:type="dxa"/>
          </w:tcPr>
          <w:p w14:paraId="1DADB035"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2B4D9628" w14:textId="77777777" w:rsidR="00437C22" w:rsidRPr="00E92668" w:rsidRDefault="00437C22" w:rsidP="00497C99">
            <w:pPr>
              <w:autoSpaceDE w:val="0"/>
              <w:autoSpaceDN w:val="0"/>
              <w:adjustRightInd w:val="0"/>
              <w:jc w:val="center"/>
              <w:rPr>
                <w:sz w:val="22"/>
                <w:szCs w:val="22"/>
                <w:lang w:eastAsia="de-DE"/>
              </w:rPr>
            </w:pPr>
          </w:p>
        </w:tc>
      </w:tr>
      <w:tr w:rsidR="00437C22" w:rsidRPr="00E92668" w14:paraId="0FB02950" w14:textId="77777777" w:rsidTr="00497C99">
        <w:tc>
          <w:tcPr>
            <w:tcW w:w="6925" w:type="dxa"/>
          </w:tcPr>
          <w:p w14:paraId="6C047AC4"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Verbraucher- und Verbraucherschutzrechte,</w:t>
            </w:r>
          </w:p>
        </w:tc>
        <w:tc>
          <w:tcPr>
            <w:tcW w:w="1080" w:type="dxa"/>
          </w:tcPr>
          <w:p w14:paraId="02E6AD5D"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66957B82"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3613A417" w14:textId="77777777" w:rsidTr="00497C99">
        <w:tc>
          <w:tcPr>
            <w:tcW w:w="6925" w:type="dxa"/>
          </w:tcPr>
          <w:p w14:paraId="742D8893"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den Schutz der Privatsphäre im Bereich der elektronischen Kommunikation,</w:t>
            </w:r>
          </w:p>
        </w:tc>
        <w:tc>
          <w:tcPr>
            <w:tcW w:w="1080" w:type="dxa"/>
          </w:tcPr>
          <w:p w14:paraId="11DD572E"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73664936"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60A16EEF" w14:textId="77777777" w:rsidTr="00497C99">
        <w:tc>
          <w:tcPr>
            <w:tcW w:w="6925" w:type="dxa"/>
          </w:tcPr>
          <w:p w14:paraId="2A8AC96B"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den Schutz personenbezogener Daten,</w:t>
            </w:r>
          </w:p>
        </w:tc>
        <w:tc>
          <w:tcPr>
            <w:tcW w:w="1080" w:type="dxa"/>
          </w:tcPr>
          <w:p w14:paraId="295DD727"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1013BF60"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2AE6A6E3" w14:textId="77777777" w:rsidTr="00497C99">
        <w:tc>
          <w:tcPr>
            <w:tcW w:w="6925" w:type="dxa"/>
          </w:tcPr>
          <w:p w14:paraId="2C29B558"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die Sicherheit in der Informationstechnik,</w:t>
            </w:r>
          </w:p>
        </w:tc>
        <w:tc>
          <w:tcPr>
            <w:tcW w:w="1080" w:type="dxa"/>
          </w:tcPr>
          <w:p w14:paraId="571EC7BC"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52E15E2C"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4DD54021" w14:textId="77777777" w:rsidTr="00497C99">
        <w:tc>
          <w:tcPr>
            <w:tcW w:w="6925" w:type="dxa"/>
          </w:tcPr>
          <w:p w14:paraId="6D9D1154"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die Buchführungs- und Rechnungslegungspflichten eines Unternehmens, wie zum Beispiel Schwarzgeldgeschäfte,</w:t>
            </w:r>
          </w:p>
        </w:tc>
        <w:tc>
          <w:tcPr>
            <w:tcW w:w="1080" w:type="dxa"/>
          </w:tcPr>
          <w:p w14:paraId="3DAEAC91"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711F037A"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6F75B57C" w14:textId="77777777" w:rsidTr="00497C99">
        <w:tc>
          <w:tcPr>
            <w:tcW w:w="6925" w:type="dxa"/>
          </w:tcPr>
          <w:p w14:paraId="0909FF8B"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Vorschriften zur Vergabe öffentlicher Aufträge, wie zum Beispiel verbotene Preisaussprachen,</w:t>
            </w:r>
          </w:p>
        </w:tc>
        <w:tc>
          <w:tcPr>
            <w:tcW w:w="1080" w:type="dxa"/>
          </w:tcPr>
          <w:p w14:paraId="5F9D2AE5"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2B838443"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67A5344C" w14:textId="77777777" w:rsidTr="00497C99">
        <w:tc>
          <w:tcPr>
            <w:tcW w:w="6925" w:type="dxa"/>
          </w:tcPr>
          <w:p w14:paraId="11C04A44"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die Verletzung steuerrechtlicher Vorschriften durch ein Unternehmen,</w:t>
            </w:r>
          </w:p>
        </w:tc>
        <w:tc>
          <w:tcPr>
            <w:tcW w:w="1080" w:type="dxa"/>
          </w:tcPr>
          <w:p w14:paraId="18EDBBB1"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7346367C" w14:textId="77777777" w:rsidR="00437C22" w:rsidRPr="00E92668" w:rsidRDefault="00437C22" w:rsidP="00497C99">
            <w:pPr>
              <w:autoSpaceDE w:val="0"/>
              <w:autoSpaceDN w:val="0"/>
              <w:adjustRightInd w:val="0"/>
              <w:jc w:val="center"/>
              <w:rPr>
                <w:sz w:val="22"/>
                <w:szCs w:val="22"/>
                <w:lang w:eastAsia="de-DE"/>
              </w:rPr>
            </w:pPr>
          </w:p>
        </w:tc>
      </w:tr>
      <w:tr w:rsidR="00437C22" w:rsidRPr="00E92668" w14:paraId="1DE9FD52" w14:textId="77777777" w:rsidTr="00497C99">
        <w:tc>
          <w:tcPr>
            <w:tcW w:w="6925" w:type="dxa"/>
          </w:tcPr>
          <w:p w14:paraId="47D42E30"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gegen das Finanzdienstleistungsaufsichtsgesetz,</w:t>
            </w:r>
          </w:p>
        </w:tc>
        <w:tc>
          <w:tcPr>
            <w:tcW w:w="1080" w:type="dxa"/>
          </w:tcPr>
          <w:p w14:paraId="31FCB477"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6A40894"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31923DC5" w14:textId="77777777" w:rsidTr="00497C99">
        <w:tc>
          <w:tcPr>
            <w:tcW w:w="6925" w:type="dxa"/>
          </w:tcPr>
          <w:p w14:paraId="34A7E751"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in Form einer Vereinbarung, mit der in missbräuchlicherweise ein steuerlicher Vorteil erreicht werden soll,</w:t>
            </w:r>
          </w:p>
        </w:tc>
        <w:tc>
          <w:tcPr>
            <w:tcW w:w="1080" w:type="dxa"/>
          </w:tcPr>
          <w:p w14:paraId="2861CE91"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B3E56BC"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1CA081E9" w14:textId="77777777" w:rsidTr="00497C99">
        <w:tc>
          <w:tcPr>
            <w:tcW w:w="6925" w:type="dxa"/>
          </w:tcPr>
          <w:p w14:paraId="52586F61"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durch die Unterlassung der Dienststellenleitung, ein Mobbing-Opfer wirksam zu schützen oder</w:t>
            </w:r>
          </w:p>
        </w:tc>
        <w:tc>
          <w:tcPr>
            <w:tcW w:w="1080" w:type="dxa"/>
          </w:tcPr>
          <w:p w14:paraId="25B5BAA6"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7C6470C" w14:textId="77777777" w:rsidR="00437C22" w:rsidRPr="00E92668" w:rsidRDefault="00437C22" w:rsidP="00497C99">
            <w:pPr>
              <w:autoSpaceDE w:val="0"/>
              <w:autoSpaceDN w:val="0"/>
              <w:adjustRightInd w:val="0"/>
              <w:jc w:val="center"/>
              <w:rPr>
                <w:sz w:val="22"/>
                <w:szCs w:val="22"/>
                <w:lang w:eastAsia="de-DE"/>
              </w:rPr>
            </w:pPr>
          </w:p>
        </w:tc>
      </w:tr>
      <w:tr w:rsidR="00437C22" w:rsidRPr="00CC7193" w14:paraId="5AD7D99F" w14:textId="77777777" w:rsidTr="00497C99">
        <w:tc>
          <w:tcPr>
            <w:tcW w:w="6925" w:type="dxa"/>
          </w:tcPr>
          <w:p w14:paraId="54A4865C" w14:textId="77777777" w:rsidR="00437C22" w:rsidRPr="00E92668" w:rsidRDefault="00437C22" w:rsidP="00437C22">
            <w:pPr>
              <w:pStyle w:val="Listenabsatz"/>
              <w:numPr>
                <w:ilvl w:val="0"/>
                <w:numId w:val="54"/>
              </w:numPr>
              <w:autoSpaceDE w:val="0"/>
              <w:autoSpaceDN w:val="0"/>
              <w:adjustRightInd w:val="0"/>
              <w:jc w:val="both"/>
              <w:rPr>
                <w:sz w:val="22"/>
                <w:szCs w:val="22"/>
              </w:rPr>
            </w:pPr>
            <w:r w:rsidRPr="00E92668">
              <w:rPr>
                <w:sz w:val="22"/>
                <w:szCs w:val="22"/>
              </w:rPr>
              <w:t>durch eine Äußerung von Beamtinnen und Beamten, die einen Verstoß gegen die Verfassungstreue darstellen.</w:t>
            </w:r>
          </w:p>
        </w:tc>
        <w:tc>
          <w:tcPr>
            <w:tcW w:w="1080" w:type="dxa"/>
          </w:tcPr>
          <w:p w14:paraId="46C35289" w14:textId="77777777" w:rsidR="00437C22" w:rsidRPr="00E92668" w:rsidRDefault="00437C22" w:rsidP="00497C99">
            <w:pPr>
              <w:autoSpaceDE w:val="0"/>
              <w:autoSpaceDN w:val="0"/>
              <w:adjustRightInd w:val="0"/>
              <w:jc w:val="center"/>
              <w:rPr>
                <w:sz w:val="22"/>
                <w:szCs w:val="22"/>
                <w:lang w:eastAsia="de-DE"/>
              </w:rPr>
            </w:pPr>
          </w:p>
        </w:tc>
        <w:tc>
          <w:tcPr>
            <w:tcW w:w="1051" w:type="dxa"/>
          </w:tcPr>
          <w:p w14:paraId="4E4226D0" w14:textId="77777777" w:rsidR="00437C22" w:rsidRPr="00E92668" w:rsidRDefault="00437C22" w:rsidP="00497C99">
            <w:pPr>
              <w:autoSpaceDE w:val="0"/>
              <w:autoSpaceDN w:val="0"/>
              <w:adjustRightInd w:val="0"/>
              <w:jc w:val="center"/>
              <w:rPr>
                <w:sz w:val="22"/>
                <w:szCs w:val="22"/>
                <w:lang w:eastAsia="de-DE"/>
              </w:rPr>
            </w:pPr>
          </w:p>
        </w:tc>
      </w:tr>
    </w:tbl>
    <w:p w14:paraId="25C47D5C" w14:textId="77777777" w:rsidR="00437C22" w:rsidRPr="00E92668" w:rsidRDefault="00437C22" w:rsidP="00437C22">
      <w:pPr>
        <w:autoSpaceDE w:val="0"/>
        <w:autoSpaceDN w:val="0"/>
        <w:adjustRightInd w:val="0"/>
        <w:jc w:val="both"/>
        <w:rPr>
          <w:sz w:val="22"/>
          <w:szCs w:val="22"/>
          <w:lang w:eastAsia="de-DE"/>
        </w:rPr>
      </w:pPr>
    </w:p>
    <w:p w14:paraId="7E09E8AB" w14:textId="77777777" w:rsidR="00437C22" w:rsidRPr="00E92668" w:rsidRDefault="00437C22" w:rsidP="00437C22">
      <w:pPr>
        <w:autoSpaceDE w:val="0"/>
        <w:autoSpaceDN w:val="0"/>
        <w:adjustRightInd w:val="0"/>
        <w:jc w:val="both"/>
        <w:rPr>
          <w:sz w:val="22"/>
          <w:szCs w:val="22"/>
          <w:lang w:eastAsia="de-DE"/>
        </w:rPr>
      </w:pPr>
      <w:r w:rsidRPr="00E92668">
        <w:rPr>
          <w:sz w:val="22"/>
          <w:szCs w:val="22"/>
          <w:lang w:eastAsia="de-DE"/>
        </w:rPr>
        <w:t xml:space="preserve">Liegt ein solcher Verstoß vor, werden Kolleginnen und Kollegen, die diesen melden, durch das neue Gesetz besser geschützt (§ 2 </w:t>
      </w:r>
      <w:proofErr w:type="spellStart"/>
      <w:r w:rsidRPr="00E92668">
        <w:rPr>
          <w:sz w:val="22"/>
          <w:szCs w:val="22"/>
          <w:lang w:eastAsia="de-DE"/>
        </w:rPr>
        <w:t>HinSchG</w:t>
      </w:r>
      <w:proofErr w:type="spellEnd"/>
      <w:r w:rsidRPr="00E92668">
        <w:rPr>
          <w:sz w:val="22"/>
          <w:szCs w:val="22"/>
          <w:lang w:eastAsia="de-DE"/>
        </w:rPr>
        <w:t>).</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44FF3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437C22">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61B5" w14:textId="77777777" w:rsidR="00697575" w:rsidRDefault="00697575" w:rsidP="00BF7674">
      <w:r>
        <w:separator/>
      </w:r>
    </w:p>
  </w:endnote>
  <w:endnote w:type="continuationSeparator" w:id="0">
    <w:p w14:paraId="63B8F175" w14:textId="77777777" w:rsidR="00697575" w:rsidRDefault="0069757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3DE1" w14:textId="77777777" w:rsidR="00697575" w:rsidRDefault="00697575" w:rsidP="00BF7674">
      <w:r>
        <w:separator/>
      </w:r>
    </w:p>
  </w:footnote>
  <w:footnote w:type="continuationSeparator" w:id="0">
    <w:p w14:paraId="3B61D0AA" w14:textId="77777777" w:rsidR="00697575" w:rsidRDefault="0069757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0"/>
  </w:num>
  <w:num w:numId="2" w16cid:durableId="573013156">
    <w:abstractNumId w:val="45"/>
  </w:num>
  <w:num w:numId="3" w16cid:durableId="1779830718">
    <w:abstractNumId w:val="13"/>
  </w:num>
  <w:num w:numId="4" w16cid:durableId="725178237">
    <w:abstractNumId w:val="37"/>
  </w:num>
  <w:num w:numId="5" w16cid:durableId="220294192">
    <w:abstractNumId w:val="47"/>
  </w:num>
  <w:num w:numId="6" w16cid:durableId="930698965">
    <w:abstractNumId w:val="48"/>
  </w:num>
  <w:num w:numId="7" w16cid:durableId="1217887320">
    <w:abstractNumId w:val="51"/>
  </w:num>
  <w:num w:numId="8" w16cid:durableId="1581284903">
    <w:abstractNumId w:val="44"/>
  </w:num>
  <w:num w:numId="9" w16cid:durableId="2043164235">
    <w:abstractNumId w:val="42"/>
  </w:num>
  <w:num w:numId="10" w16cid:durableId="359477797">
    <w:abstractNumId w:val="22"/>
  </w:num>
  <w:num w:numId="11" w16cid:durableId="2118863191">
    <w:abstractNumId w:val="43"/>
  </w:num>
  <w:num w:numId="12" w16cid:durableId="1105073630">
    <w:abstractNumId w:val="14"/>
  </w:num>
  <w:num w:numId="13" w16cid:durableId="501816211">
    <w:abstractNumId w:val="4"/>
  </w:num>
  <w:num w:numId="14" w16cid:durableId="2087798823">
    <w:abstractNumId w:val="25"/>
  </w:num>
  <w:num w:numId="15" w16cid:durableId="1222252971">
    <w:abstractNumId w:val="10"/>
  </w:num>
  <w:num w:numId="16" w16cid:durableId="1880429248">
    <w:abstractNumId w:val="35"/>
  </w:num>
  <w:num w:numId="17" w16cid:durableId="2064789847">
    <w:abstractNumId w:val="1"/>
  </w:num>
  <w:num w:numId="18" w16cid:durableId="1674608018">
    <w:abstractNumId w:val="28"/>
  </w:num>
  <w:num w:numId="19" w16cid:durableId="1719551836">
    <w:abstractNumId w:val="33"/>
  </w:num>
  <w:num w:numId="20" w16cid:durableId="1244490335">
    <w:abstractNumId w:val="2"/>
  </w:num>
  <w:num w:numId="21" w16cid:durableId="177737794">
    <w:abstractNumId w:val="19"/>
  </w:num>
  <w:num w:numId="22" w16cid:durableId="917902633">
    <w:abstractNumId w:val="9"/>
  </w:num>
  <w:num w:numId="23" w16cid:durableId="373698778">
    <w:abstractNumId w:val="15"/>
  </w:num>
  <w:num w:numId="24" w16cid:durableId="1589269503">
    <w:abstractNumId w:val="12"/>
  </w:num>
  <w:num w:numId="25" w16cid:durableId="429205834">
    <w:abstractNumId w:val="5"/>
  </w:num>
  <w:num w:numId="26" w16cid:durableId="762335405">
    <w:abstractNumId w:val="3"/>
  </w:num>
  <w:num w:numId="27" w16cid:durableId="1625384825">
    <w:abstractNumId w:val="27"/>
  </w:num>
  <w:num w:numId="28" w16cid:durableId="1697072466">
    <w:abstractNumId w:val="18"/>
  </w:num>
  <w:num w:numId="29" w16cid:durableId="630015363">
    <w:abstractNumId w:val="20"/>
  </w:num>
  <w:num w:numId="30" w16cid:durableId="1777211645">
    <w:abstractNumId w:val="24"/>
  </w:num>
  <w:num w:numId="31" w16cid:durableId="1223832647">
    <w:abstractNumId w:val="38"/>
  </w:num>
  <w:num w:numId="32" w16cid:durableId="1128670099">
    <w:abstractNumId w:val="46"/>
  </w:num>
  <w:num w:numId="33" w16cid:durableId="1417821402">
    <w:abstractNumId w:val="17"/>
  </w:num>
  <w:num w:numId="34" w16cid:durableId="1393113635">
    <w:abstractNumId w:val="39"/>
  </w:num>
  <w:num w:numId="35" w16cid:durableId="919750748">
    <w:abstractNumId w:val="26"/>
  </w:num>
  <w:num w:numId="36" w16cid:durableId="430861448">
    <w:abstractNumId w:val="49"/>
  </w:num>
  <w:num w:numId="37" w16cid:durableId="1799226588">
    <w:abstractNumId w:val="49"/>
  </w:num>
  <w:num w:numId="38" w16cid:durableId="1329752621">
    <w:abstractNumId w:val="34"/>
  </w:num>
  <w:num w:numId="39" w16cid:durableId="621425610">
    <w:abstractNumId w:val="29"/>
  </w:num>
  <w:num w:numId="40" w16cid:durableId="2028360859">
    <w:abstractNumId w:val="52"/>
  </w:num>
  <w:num w:numId="41" w16cid:durableId="1736853224">
    <w:abstractNumId w:val="30"/>
  </w:num>
  <w:num w:numId="42" w16cid:durableId="78332183">
    <w:abstractNumId w:val="23"/>
  </w:num>
  <w:num w:numId="43" w16cid:durableId="1423837091">
    <w:abstractNumId w:val="0"/>
  </w:num>
  <w:num w:numId="44" w16cid:durableId="1430586683">
    <w:abstractNumId w:val="7"/>
  </w:num>
  <w:num w:numId="45" w16cid:durableId="1422872476">
    <w:abstractNumId w:val="8"/>
  </w:num>
  <w:num w:numId="46" w16cid:durableId="1355183361">
    <w:abstractNumId w:val="11"/>
  </w:num>
  <w:num w:numId="47" w16cid:durableId="669597700">
    <w:abstractNumId w:val="32"/>
  </w:num>
  <w:num w:numId="48" w16cid:durableId="446312732">
    <w:abstractNumId w:val="41"/>
  </w:num>
  <w:num w:numId="49" w16cid:durableId="39791684">
    <w:abstractNumId w:val="31"/>
  </w:num>
  <w:num w:numId="50" w16cid:durableId="117527703">
    <w:abstractNumId w:val="40"/>
  </w:num>
  <w:num w:numId="51" w16cid:durableId="1617131525">
    <w:abstractNumId w:val="36"/>
  </w:num>
  <w:num w:numId="52" w16cid:durableId="372117226">
    <w:abstractNumId w:val="16"/>
  </w:num>
  <w:num w:numId="53" w16cid:durableId="1680042876">
    <w:abstractNumId w:val="6"/>
  </w:num>
  <w:num w:numId="54" w16cid:durableId="7236787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1BAA"/>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97575"/>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2023-06-22T12:54:00Z</dcterms:created>
  <dcterms:modified xsi:type="dcterms:W3CDTF">2023-06-22T12:55:00Z</dcterms:modified>
</cp:coreProperties>
</file>