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ECCB7" w14:textId="77777777" w:rsidR="00BF0246" w:rsidRPr="007874C3" w:rsidRDefault="00BF0246" w:rsidP="00BF0246">
      <w:pPr>
        <w:pStyle w:val="PNLSubhead"/>
        <w:outlineLvl w:val="0"/>
      </w:pPr>
      <w:r w:rsidRPr="007874C3">
        <w:t>Muster: Wie Sie Korruption in Ihrer Dienststelle vermeiden</w:t>
      </w:r>
    </w:p>
    <w:p w14:paraId="2E40495F" w14:textId="77777777" w:rsidR="00BF0246" w:rsidRPr="007874C3" w:rsidRDefault="00BF0246" w:rsidP="00BF0246">
      <w:pPr>
        <w:pStyle w:val="Textkrper"/>
        <w:jc w:val="center"/>
        <w:rPr>
          <w:b/>
          <w:bCs/>
          <w:i/>
          <w:iCs/>
          <w:sz w:val="22"/>
          <w:szCs w:val="22"/>
          <w:highlight w:val="lightGray"/>
        </w:rPr>
      </w:pPr>
    </w:p>
    <w:p w14:paraId="734B8086" w14:textId="77777777" w:rsidR="00BF0246" w:rsidRPr="007874C3" w:rsidRDefault="00BF0246" w:rsidP="00BF0246">
      <w:pPr>
        <w:pStyle w:val="Textkrper"/>
        <w:jc w:val="center"/>
        <w:rPr>
          <w:b/>
          <w:bCs/>
          <w:i/>
          <w:iCs/>
          <w:sz w:val="22"/>
          <w:szCs w:val="22"/>
        </w:rPr>
      </w:pPr>
      <w:r w:rsidRPr="007874C3">
        <w:rPr>
          <w:b/>
          <w:bCs/>
          <w:i/>
          <w:iCs/>
          <w:sz w:val="22"/>
          <w:szCs w:val="22"/>
        </w:rPr>
        <w:t>Dienstvereinbarung</w:t>
      </w:r>
    </w:p>
    <w:p w14:paraId="328E8BAB" w14:textId="77777777" w:rsidR="00BF0246" w:rsidRPr="007874C3" w:rsidRDefault="00BF0246" w:rsidP="00BF0246">
      <w:pPr>
        <w:pStyle w:val="Textkrper"/>
        <w:rPr>
          <w:i/>
          <w:iCs/>
          <w:sz w:val="22"/>
          <w:szCs w:val="22"/>
        </w:rPr>
      </w:pPr>
      <w:r w:rsidRPr="007874C3">
        <w:rPr>
          <w:i/>
          <w:iCs/>
          <w:sz w:val="22"/>
          <w:szCs w:val="22"/>
        </w:rPr>
        <w:t>zum Schutz vor Korruption</w:t>
      </w:r>
    </w:p>
    <w:p w14:paraId="2190E3AF" w14:textId="77777777" w:rsidR="00BF0246" w:rsidRPr="007874C3" w:rsidRDefault="00BF0246" w:rsidP="00BF0246">
      <w:pPr>
        <w:autoSpaceDE w:val="0"/>
        <w:autoSpaceDN w:val="0"/>
        <w:adjustRightInd w:val="0"/>
        <w:spacing w:before="240"/>
        <w:jc w:val="center"/>
        <w:rPr>
          <w:i/>
          <w:iCs/>
          <w:sz w:val="22"/>
          <w:szCs w:val="22"/>
        </w:rPr>
      </w:pPr>
      <w:r w:rsidRPr="007874C3">
        <w:rPr>
          <w:i/>
          <w:iCs/>
          <w:sz w:val="22"/>
          <w:szCs w:val="22"/>
        </w:rPr>
        <w:t>zwischen</w:t>
      </w:r>
    </w:p>
    <w:p w14:paraId="4E7B6BC4" w14:textId="77777777" w:rsidR="00BF0246" w:rsidRPr="007874C3" w:rsidRDefault="00BF0246" w:rsidP="00BF0246">
      <w:pPr>
        <w:autoSpaceDE w:val="0"/>
        <w:autoSpaceDN w:val="0"/>
        <w:adjustRightInd w:val="0"/>
        <w:spacing w:before="120"/>
        <w:jc w:val="center"/>
        <w:rPr>
          <w:i/>
          <w:iCs/>
          <w:sz w:val="22"/>
          <w:szCs w:val="22"/>
        </w:rPr>
      </w:pPr>
      <w:r w:rsidRPr="007874C3">
        <w:rPr>
          <w:i/>
          <w:iCs/>
          <w:sz w:val="22"/>
          <w:szCs w:val="22"/>
        </w:rPr>
        <w:t>der Dienststelle ...,</w:t>
      </w:r>
    </w:p>
    <w:p w14:paraId="6FE22B12" w14:textId="77777777" w:rsidR="00BF0246" w:rsidRPr="007874C3" w:rsidRDefault="00BF0246" w:rsidP="00BF0246">
      <w:pPr>
        <w:autoSpaceDE w:val="0"/>
        <w:autoSpaceDN w:val="0"/>
        <w:adjustRightInd w:val="0"/>
        <w:jc w:val="center"/>
        <w:rPr>
          <w:i/>
          <w:iCs/>
          <w:sz w:val="22"/>
          <w:szCs w:val="22"/>
        </w:rPr>
      </w:pPr>
      <w:r w:rsidRPr="007874C3">
        <w:rPr>
          <w:i/>
          <w:iCs/>
          <w:sz w:val="22"/>
          <w:szCs w:val="22"/>
        </w:rPr>
        <w:t>vertreten durch den/die Dienststellenleiter(in)</w:t>
      </w:r>
    </w:p>
    <w:p w14:paraId="529B4ED1" w14:textId="77777777" w:rsidR="00BF0246" w:rsidRPr="007874C3" w:rsidRDefault="00BF0246" w:rsidP="00BF0246">
      <w:pPr>
        <w:autoSpaceDE w:val="0"/>
        <w:autoSpaceDN w:val="0"/>
        <w:adjustRightInd w:val="0"/>
        <w:jc w:val="center"/>
        <w:rPr>
          <w:i/>
          <w:iCs/>
          <w:sz w:val="22"/>
          <w:szCs w:val="22"/>
        </w:rPr>
      </w:pPr>
      <w:r w:rsidRPr="007874C3">
        <w:rPr>
          <w:i/>
          <w:iCs/>
          <w:sz w:val="22"/>
          <w:szCs w:val="22"/>
        </w:rPr>
        <w:t>Herrn/Frau ...</w:t>
      </w:r>
    </w:p>
    <w:p w14:paraId="2B2B9CBE" w14:textId="77777777" w:rsidR="00BF0246" w:rsidRPr="007874C3" w:rsidRDefault="00BF0246" w:rsidP="00BF0246">
      <w:pPr>
        <w:autoSpaceDE w:val="0"/>
        <w:autoSpaceDN w:val="0"/>
        <w:adjustRightInd w:val="0"/>
        <w:spacing w:before="120"/>
        <w:jc w:val="center"/>
        <w:rPr>
          <w:i/>
          <w:iCs/>
          <w:sz w:val="22"/>
          <w:szCs w:val="22"/>
        </w:rPr>
      </w:pPr>
      <w:r w:rsidRPr="007874C3">
        <w:rPr>
          <w:i/>
          <w:iCs/>
          <w:sz w:val="22"/>
          <w:szCs w:val="22"/>
        </w:rPr>
        <w:t>und dem Personalrat</w:t>
      </w:r>
    </w:p>
    <w:p w14:paraId="4328DF51" w14:textId="77777777" w:rsidR="00BF0246" w:rsidRPr="007874C3" w:rsidRDefault="00BF0246" w:rsidP="00BF0246">
      <w:pPr>
        <w:autoSpaceDE w:val="0"/>
        <w:autoSpaceDN w:val="0"/>
        <w:adjustRightInd w:val="0"/>
        <w:jc w:val="center"/>
        <w:rPr>
          <w:i/>
          <w:iCs/>
          <w:sz w:val="22"/>
          <w:szCs w:val="22"/>
        </w:rPr>
      </w:pPr>
      <w:r w:rsidRPr="007874C3">
        <w:rPr>
          <w:i/>
          <w:iCs/>
          <w:sz w:val="22"/>
          <w:szCs w:val="22"/>
        </w:rPr>
        <w:t>der Dienststelle ...,</w:t>
      </w:r>
    </w:p>
    <w:p w14:paraId="120C0C68" w14:textId="77777777" w:rsidR="00BF0246" w:rsidRPr="007874C3" w:rsidRDefault="00BF0246" w:rsidP="00BF0246">
      <w:pPr>
        <w:autoSpaceDE w:val="0"/>
        <w:autoSpaceDN w:val="0"/>
        <w:adjustRightInd w:val="0"/>
        <w:jc w:val="center"/>
        <w:rPr>
          <w:i/>
          <w:iCs/>
          <w:sz w:val="22"/>
          <w:szCs w:val="22"/>
        </w:rPr>
      </w:pPr>
      <w:r w:rsidRPr="007874C3">
        <w:rPr>
          <w:i/>
          <w:iCs/>
          <w:sz w:val="22"/>
          <w:szCs w:val="22"/>
        </w:rPr>
        <w:t>vertreten durch deren/dessen Vorsitzende(n)</w:t>
      </w:r>
    </w:p>
    <w:p w14:paraId="7344AD6C" w14:textId="77777777" w:rsidR="00BF0246" w:rsidRPr="007874C3" w:rsidRDefault="00BF0246" w:rsidP="00BF0246">
      <w:pPr>
        <w:autoSpaceDE w:val="0"/>
        <w:autoSpaceDN w:val="0"/>
        <w:adjustRightInd w:val="0"/>
        <w:jc w:val="center"/>
        <w:rPr>
          <w:i/>
          <w:iCs/>
          <w:sz w:val="22"/>
          <w:szCs w:val="22"/>
        </w:rPr>
      </w:pPr>
      <w:r w:rsidRPr="007874C3">
        <w:rPr>
          <w:i/>
          <w:iCs/>
          <w:sz w:val="22"/>
          <w:szCs w:val="22"/>
        </w:rPr>
        <w:t>Herrn/Frau ...</w:t>
      </w:r>
    </w:p>
    <w:p w14:paraId="2CBDF88E" w14:textId="77777777" w:rsidR="00BF0246" w:rsidRPr="007874C3" w:rsidRDefault="00BF0246" w:rsidP="00BF0246">
      <w:pPr>
        <w:autoSpaceDE w:val="0"/>
        <w:autoSpaceDN w:val="0"/>
        <w:adjustRightInd w:val="0"/>
        <w:rPr>
          <w:i/>
          <w:iCs/>
          <w:sz w:val="22"/>
          <w:szCs w:val="22"/>
        </w:rPr>
      </w:pPr>
    </w:p>
    <w:p w14:paraId="0EF51DDB" w14:textId="77777777" w:rsidR="00BF0246" w:rsidRPr="007874C3" w:rsidRDefault="00BF0246" w:rsidP="00BF0246">
      <w:pPr>
        <w:pStyle w:val="jm1a"/>
        <w:widowControl w:val="0"/>
        <w:rPr>
          <w:rFonts w:ascii="Times New Roman" w:hAnsi="Times New Roman"/>
          <w:i/>
          <w:iCs/>
          <w:sz w:val="22"/>
          <w:szCs w:val="22"/>
        </w:rPr>
      </w:pPr>
      <w:r w:rsidRPr="007874C3">
        <w:rPr>
          <w:rStyle w:val="jm40"/>
          <w:rFonts w:ascii="Times New Roman" w:hAnsi="Times New Roman"/>
          <w:i/>
          <w:iCs/>
          <w:sz w:val="22"/>
          <w:szCs w:val="22"/>
        </w:rPr>
        <w:t>Vorbemerkung</w:t>
      </w:r>
      <w:r w:rsidRPr="007874C3">
        <w:rPr>
          <w:rFonts w:ascii="Times New Roman" w:hAnsi="Times New Roman"/>
          <w:i/>
          <w:iCs/>
          <w:sz w:val="22"/>
          <w:szCs w:val="22"/>
        </w:rPr>
        <w:t>: Aus Gründen der besseren Lesbarkeit wurde die männliche Sprachform bei der Formulierung dieser Dienstvereinbarung gewählt. Personalrat und Dienststellenleitung versichern, dass sie alle Arbeitnehmerinnen und Arbeitnehmer und andere Personen diskriminierungsfrei und gleichberechtigt behandeln werden.</w:t>
      </w:r>
    </w:p>
    <w:p w14:paraId="6C870BDC" w14:textId="77777777" w:rsidR="00BF0246" w:rsidRPr="007874C3" w:rsidRDefault="00BF0246" w:rsidP="00BF0246">
      <w:pPr>
        <w:autoSpaceDE w:val="0"/>
        <w:autoSpaceDN w:val="0"/>
        <w:adjustRightInd w:val="0"/>
        <w:jc w:val="both"/>
        <w:rPr>
          <w:rFonts w:ascii="Calibri" w:hAnsi="Calibri" w:cs="AvenirLT-Heavy"/>
          <w:b/>
          <w:bCs/>
          <w:highlight w:val="lightGray"/>
        </w:rPr>
      </w:pPr>
    </w:p>
    <w:p w14:paraId="13DEE4B2" w14:textId="77777777" w:rsidR="00BF0246" w:rsidRPr="007874C3" w:rsidRDefault="00BF0246" w:rsidP="00BF0246">
      <w:pPr>
        <w:pStyle w:val="COGFlietextohne"/>
        <w:rPr>
          <w:rFonts w:ascii="Times New Roman" w:hAnsi="Times New Roman" w:cs="Times New Roman"/>
          <w:b/>
          <w:i/>
          <w:sz w:val="22"/>
          <w:szCs w:val="22"/>
        </w:rPr>
      </w:pPr>
      <w:r w:rsidRPr="007874C3">
        <w:rPr>
          <w:rFonts w:ascii="Times New Roman" w:hAnsi="Times New Roman" w:cs="Times New Roman"/>
          <w:b/>
          <w:i/>
          <w:sz w:val="22"/>
          <w:szCs w:val="22"/>
        </w:rPr>
        <w:t>Präambel</w:t>
      </w:r>
    </w:p>
    <w:p w14:paraId="68F8382F" w14:textId="77777777" w:rsidR="00BF0246" w:rsidRPr="007874C3" w:rsidRDefault="00BF0246" w:rsidP="00BF0246">
      <w:pPr>
        <w:pStyle w:val="COGFlietextohne"/>
        <w:rPr>
          <w:rFonts w:ascii="Times New Roman" w:hAnsi="Times New Roman" w:cs="Times New Roman"/>
          <w:i/>
          <w:sz w:val="22"/>
          <w:szCs w:val="22"/>
        </w:rPr>
      </w:pPr>
      <w:r w:rsidRPr="007874C3">
        <w:rPr>
          <w:rFonts w:ascii="Times New Roman" w:hAnsi="Times New Roman" w:cs="Times New Roman"/>
          <w:i/>
          <w:sz w:val="22"/>
          <w:szCs w:val="22"/>
        </w:rPr>
        <w:t xml:space="preserve">Unsere Dienststelle akzeptiert weder Korruption noch Bestechung. Korruption ist eine Straftat, der wir bei Verdacht bedingungslos nachgehen werden. Alle Mitarbeiter sind zur Beachtung dieser Regelungen verpflichtet. Ein Verstoß gegen diese Compliance-Richtlinie wird arbeitsrechtliche Maßnahmen, bis hin zur Kündigung, nach sich ziehen. </w:t>
      </w:r>
    </w:p>
    <w:p w14:paraId="159053C5" w14:textId="77777777" w:rsidR="00BF0246" w:rsidRPr="007874C3" w:rsidRDefault="00BF0246" w:rsidP="00BF0246">
      <w:pPr>
        <w:pStyle w:val="COGFlietextohne"/>
        <w:rPr>
          <w:rFonts w:asciiTheme="minorHAnsi" w:hAnsiTheme="minorHAnsi"/>
          <w:i/>
        </w:rPr>
      </w:pPr>
    </w:p>
    <w:p w14:paraId="5CEA673C" w14:textId="77777777" w:rsidR="00BF0246" w:rsidRPr="007874C3" w:rsidRDefault="00BF0246" w:rsidP="00BF0246">
      <w:pPr>
        <w:pStyle w:val="COGFlietextohne"/>
        <w:rPr>
          <w:rStyle w:val="Schritt"/>
          <w:rFonts w:ascii="Times New Roman" w:hAnsi="Times New Roman" w:cs="Times New Roman"/>
          <w:b/>
          <w:bCs/>
          <w:i/>
          <w:sz w:val="22"/>
          <w:szCs w:val="22"/>
        </w:rPr>
      </w:pPr>
      <w:r w:rsidRPr="007874C3">
        <w:rPr>
          <w:rStyle w:val="Schritt"/>
          <w:rFonts w:ascii="Times New Roman" w:hAnsi="Times New Roman" w:cs="Times New Roman"/>
          <w:b/>
          <w:bCs/>
          <w:i/>
          <w:sz w:val="22"/>
          <w:szCs w:val="22"/>
        </w:rPr>
        <w:t>§ 1 Definition „Korruption“</w:t>
      </w:r>
    </w:p>
    <w:p w14:paraId="27874B41" w14:textId="77777777" w:rsidR="00BF0246" w:rsidRPr="007874C3" w:rsidRDefault="00BF0246" w:rsidP="00BF0246">
      <w:pPr>
        <w:pStyle w:val="COGFlietextohne"/>
        <w:rPr>
          <w:rFonts w:ascii="Times New Roman" w:hAnsi="Times New Roman" w:cs="Times New Roman"/>
          <w:i/>
          <w:sz w:val="22"/>
          <w:szCs w:val="22"/>
        </w:rPr>
      </w:pPr>
      <w:r w:rsidRPr="007874C3">
        <w:rPr>
          <w:rFonts w:ascii="Times New Roman" w:hAnsi="Times New Roman" w:cs="Times New Roman"/>
          <w:i/>
          <w:sz w:val="22"/>
          <w:szCs w:val="22"/>
        </w:rPr>
        <w:t xml:space="preserve">Korruption im Sinne dieser Richtlinie ist der Missbrauch anvertrauter Macht, Ressourcen oder Mittel insbesondere zum Zwecke der persönlichen Bereicherung. Korruption umfasst damit insbesondere Bestechung oder Bestechlichkeit, Vorteilsannahme oder Vorteilsgewährung, Unterschlagung, Betrug, Erpressung und Vetternwirtschaft. </w:t>
      </w:r>
    </w:p>
    <w:p w14:paraId="0C5ECA05" w14:textId="77777777" w:rsidR="00BF0246" w:rsidRPr="007874C3" w:rsidRDefault="00BF0246" w:rsidP="00BF0246">
      <w:pPr>
        <w:pStyle w:val="COGFlietextohne"/>
        <w:rPr>
          <w:rFonts w:asciiTheme="minorHAnsi" w:hAnsiTheme="minorHAnsi"/>
          <w:i/>
        </w:rPr>
      </w:pPr>
    </w:p>
    <w:p w14:paraId="2B78C748" w14:textId="77777777" w:rsidR="00BF0246" w:rsidRPr="007874C3" w:rsidRDefault="00BF0246" w:rsidP="00BF0246">
      <w:pPr>
        <w:pStyle w:val="COGFlietextohne"/>
        <w:rPr>
          <w:rStyle w:val="Schritt"/>
          <w:rFonts w:ascii="Times New Roman" w:hAnsi="Times New Roman" w:cs="Times New Roman"/>
          <w:b/>
          <w:bCs/>
          <w:i/>
          <w:sz w:val="22"/>
          <w:szCs w:val="22"/>
        </w:rPr>
      </w:pPr>
      <w:r w:rsidRPr="007874C3">
        <w:rPr>
          <w:rStyle w:val="Schritt"/>
          <w:rFonts w:ascii="Times New Roman" w:hAnsi="Times New Roman" w:cs="Times New Roman"/>
          <w:b/>
          <w:bCs/>
          <w:i/>
          <w:sz w:val="22"/>
          <w:szCs w:val="22"/>
        </w:rPr>
        <w:t>§ 2 Antikorruption</w:t>
      </w:r>
    </w:p>
    <w:p w14:paraId="5381E81A" w14:textId="77777777" w:rsidR="00BF0246" w:rsidRPr="007874C3" w:rsidRDefault="00BF0246" w:rsidP="00BF0246">
      <w:pPr>
        <w:pStyle w:val="COGFlietextohne"/>
        <w:rPr>
          <w:rFonts w:ascii="Times New Roman" w:hAnsi="Times New Roman" w:cs="Times New Roman"/>
          <w:b/>
          <w:bCs/>
          <w:i/>
          <w:sz w:val="22"/>
          <w:szCs w:val="22"/>
        </w:rPr>
      </w:pPr>
      <w:r w:rsidRPr="007874C3">
        <w:rPr>
          <w:rStyle w:val="Schritt"/>
          <w:i/>
          <w:sz w:val="22"/>
          <w:szCs w:val="22"/>
        </w:rPr>
        <w:t>(1)</w:t>
      </w:r>
      <w:r w:rsidRPr="007874C3">
        <w:rPr>
          <w:rFonts w:ascii="Times New Roman" w:hAnsi="Times New Roman" w:cs="Times New Roman"/>
          <w:i/>
          <w:sz w:val="22"/>
          <w:szCs w:val="22"/>
        </w:rPr>
        <w:t xml:space="preserve"> Jedes Verhalten, das den Verdacht</w:t>
      </w:r>
    </w:p>
    <w:p w14:paraId="39B20A35" w14:textId="77777777" w:rsidR="00BF0246" w:rsidRPr="007874C3" w:rsidRDefault="00BF0246" w:rsidP="00BF0246">
      <w:pPr>
        <w:autoSpaceDE w:val="0"/>
        <w:autoSpaceDN w:val="0"/>
        <w:adjustRightInd w:val="0"/>
        <w:jc w:val="both"/>
        <w:rPr>
          <w:sz w:val="22"/>
          <w:szCs w:val="22"/>
          <w:highlight w:val="lightGray"/>
        </w:rPr>
      </w:pPr>
    </w:p>
    <w:p w14:paraId="7E3E6825" w14:textId="77777777" w:rsidR="00BF0246" w:rsidRPr="007874C3" w:rsidRDefault="00BF0246" w:rsidP="00BF0246">
      <w:pPr>
        <w:pStyle w:val="COGFlietextohne"/>
        <w:rPr>
          <w:rFonts w:ascii="Times New Roman" w:hAnsi="Times New Roman" w:cs="Times New Roman"/>
          <w:i/>
          <w:sz w:val="22"/>
          <w:szCs w:val="22"/>
        </w:rPr>
      </w:pPr>
      <w:r w:rsidRPr="007874C3">
        <w:rPr>
          <w:rFonts w:ascii="Times New Roman" w:hAnsi="Times New Roman" w:cs="Times New Roman"/>
          <w:i/>
          <w:sz w:val="22"/>
          <w:szCs w:val="22"/>
        </w:rPr>
        <w:t xml:space="preserve">einer Korruption hervorrufen kann, ist zu unterlassen. </w:t>
      </w:r>
    </w:p>
    <w:p w14:paraId="3B2E4BED" w14:textId="77777777" w:rsidR="00BF0246" w:rsidRPr="007874C3" w:rsidRDefault="00BF0246" w:rsidP="00BF0246">
      <w:pPr>
        <w:pStyle w:val="COGFlietextohne"/>
        <w:rPr>
          <w:rFonts w:ascii="Times New Roman" w:hAnsi="Times New Roman" w:cs="Times New Roman"/>
          <w:i/>
          <w:sz w:val="22"/>
          <w:szCs w:val="22"/>
        </w:rPr>
      </w:pPr>
    </w:p>
    <w:p w14:paraId="7A239FEE" w14:textId="77777777" w:rsidR="00BF0246" w:rsidRPr="007874C3" w:rsidRDefault="00BF0246" w:rsidP="00BF0246">
      <w:pPr>
        <w:pStyle w:val="COGFlietextohne"/>
        <w:rPr>
          <w:rFonts w:ascii="Times New Roman" w:hAnsi="Times New Roman" w:cs="Times New Roman"/>
          <w:i/>
          <w:sz w:val="22"/>
          <w:szCs w:val="22"/>
        </w:rPr>
      </w:pPr>
      <w:r w:rsidRPr="007874C3">
        <w:rPr>
          <w:rFonts w:ascii="Times New Roman" w:hAnsi="Times New Roman" w:cs="Times New Roman"/>
          <w:i/>
          <w:sz w:val="22"/>
          <w:szCs w:val="22"/>
        </w:rPr>
        <w:t xml:space="preserve">(2) Mitarbeitern anderer Dienststellen, der öffentlichen Verwaltung oder sonstigen Dritten dürfen im Zusammenhang mit dienstlichen Tätigkeiten keine persönlichen Vorteile oder Geschenke </w:t>
      </w:r>
    </w:p>
    <w:p w14:paraId="43BB6FB0" w14:textId="77777777" w:rsidR="00BF0246" w:rsidRPr="007874C3" w:rsidRDefault="00BF0246" w:rsidP="00BF0246">
      <w:pPr>
        <w:pStyle w:val="COGFlietextohne"/>
        <w:numPr>
          <w:ilvl w:val="0"/>
          <w:numId w:val="41"/>
        </w:numPr>
        <w:rPr>
          <w:rFonts w:ascii="Times New Roman" w:hAnsi="Times New Roman" w:cs="Times New Roman"/>
          <w:i/>
          <w:sz w:val="22"/>
          <w:szCs w:val="22"/>
        </w:rPr>
      </w:pPr>
      <w:r w:rsidRPr="007874C3">
        <w:rPr>
          <w:rFonts w:ascii="Times New Roman" w:hAnsi="Times New Roman" w:cs="Times New Roman"/>
          <w:i/>
          <w:sz w:val="22"/>
          <w:szCs w:val="22"/>
        </w:rPr>
        <w:t xml:space="preserve">angeboten oder gewährt werden oder </w:t>
      </w:r>
    </w:p>
    <w:p w14:paraId="08B88117" w14:textId="77777777" w:rsidR="00BF0246" w:rsidRPr="007874C3" w:rsidRDefault="00BF0246" w:rsidP="00BF0246">
      <w:pPr>
        <w:pStyle w:val="COGFlietextohne"/>
        <w:numPr>
          <w:ilvl w:val="0"/>
          <w:numId w:val="41"/>
        </w:numPr>
        <w:rPr>
          <w:rFonts w:ascii="Times New Roman" w:hAnsi="Times New Roman" w:cs="Times New Roman"/>
          <w:i/>
          <w:sz w:val="22"/>
          <w:szCs w:val="22"/>
        </w:rPr>
      </w:pPr>
      <w:r w:rsidRPr="007874C3">
        <w:rPr>
          <w:rFonts w:ascii="Times New Roman" w:hAnsi="Times New Roman" w:cs="Times New Roman"/>
          <w:i/>
          <w:sz w:val="22"/>
          <w:szCs w:val="22"/>
        </w:rPr>
        <w:t xml:space="preserve">von diesen Personen gefordert oder angenommen werden. </w:t>
      </w:r>
    </w:p>
    <w:p w14:paraId="293D1424" w14:textId="77777777" w:rsidR="00BF0246" w:rsidRPr="007874C3" w:rsidRDefault="00BF0246" w:rsidP="00BF0246">
      <w:pPr>
        <w:pStyle w:val="COGFlietextohne"/>
        <w:rPr>
          <w:rFonts w:ascii="Times New Roman" w:hAnsi="Times New Roman" w:cs="Times New Roman"/>
          <w:i/>
          <w:sz w:val="22"/>
          <w:szCs w:val="22"/>
        </w:rPr>
      </w:pPr>
    </w:p>
    <w:p w14:paraId="273A792E" w14:textId="77777777" w:rsidR="00BF0246" w:rsidRPr="007874C3" w:rsidRDefault="00BF0246" w:rsidP="00BF0246">
      <w:pPr>
        <w:pStyle w:val="COGFlietextohne"/>
        <w:rPr>
          <w:rFonts w:ascii="Times New Roman" w:hAnsi="Times New Roman" w:cs="Times New Roman"/>
          <w:i/>
          <w:sz w:val="22"/>
          <w:szCs w:val="22"/>
        </w:rPr>
      </w:pPr>
      <w:r w:rsidRPr="007874C3">
        <w:rPr>
          <w:rFonts w:ascii="Times New Roman" w:hAnsi="Times New Roman" w:cs="Times New Roman"/>
          <w:i/>
          <w:sz w:val="22"/>
          <w:szCs w:val="22"/>
        </w:rPr>
        <w:t xml:space="preserve">(3) Dieses Verbot gilt auch für Mitarbeiter öffentlicher Verwaltungen. </w:t>
      </w:r>
    </w:p>
    <w:p w14:paraId="094793DC" w14:textId="77777777" w:rsidR="00BF0246" w:rsidRPr="007874C3" w:rsidRDefault="00BF0246" w:rsidP="00BF0246">
      <w:pPr>
        <w:pStyle w:val="COGFlietextohne"/>
        <w:rPr>
          <w:rFonts w:ascii="Times New Roman" w:hAnsi="Times New Roman" w:cs="Times New Roman"/>
          <w:i/>
          <w:sz w:val="22"/>
          <w:szCs w:val="22"/>
        </w:rPr>
      </w:pPr>
    </w:p>
    <w:p w14:paraId="1A00109A" w14:textId="77777777" w:rsidR="00BF0246" w:rsidRPr="007874C3" w:rsidRDefault="00BF0246" w:rsidP="00BF0246">
      <w:pPr>
        <w:pStyle w:val="COGFlietextohne"/>
        <w:rPr>
          <w:rFonts w:ascii="Times New Roman" w:hAnsi="Times New Roman" w:cs="Times New Roman"/>
          <w:i/>
          <w:sz w:val="22"/>
          <w:szCs w:val="22"/>
        </w:rPr>
      </w:pPr>
      <w:r w:rsidRPr="007874C3">
        <w:rPr>
          <w:rFonts w:ascii="Times New Roman" w:hAnsi="Times New Roman" w:cs="Times New Roman"/>
          <w:i/>
          <w:sz w:val="22"/>
          <w:szCs w:val="22"/>
        </w:rPr>
        <w:t xml:space="preserve">(4) Das Verbot gilt auch dann, wenn die Entscheidung ohne Vorteilsgewährung oder Vorteilsannahme gleich ausgefallen wäre.  </w:t>
      </w:r>
    </w:p>
    <w:p w14:paraId="0F89A7D5" w14:textId="77777777" w:rsidR="00BF0246" w:rsidRPr="007874C3" w:rsidRDefault="00BF0246" w:rsidP="00BF0246">
      <w:pPr>
        <w:pStyle w:val="COGFlietextohne"/>
        <w:rPr>
          <w:rFonts w:asciiTheme="minorHAnsi" w:hAnsiTheme="minorHAnsi"/>
          <w:i/>
        </w:rPr>
      </w:pPr>
    </w:p>
    <w:p w14:paraId="2EF85F96" w14:textId="77777777" w:rsidR="00BF0246" w:rsidRPr="007874C3" w:rsidRDefault="00BF0246" w:rsidP="00BF0246">
      <w:pPr>
        <w:pStyle w:val="COGFlietextohne"/>
        <w:rPr>
          <w:rStyle w:val="Schritt"/>
          <w:rFonts w:ascii="Times New Roman" w:hAnsi="Times New Roman" w:cs="Times New Roman"/>
          <w:b/>
          <w:bCs/>
          <w:i/>
          <w:sz w:val="22"/>
          <w:szCs w:val="22"/>
        </w:rPr>
      </w:pPr>
      <w:r w:rsidRPr="007874C3">
        <w:rPr>
          <w:rStyle w:val="Schritt"/>
          <w:rFonts w:ascii="Times New Roman" w:hAnsi="Times New Roman" w:cs="Times New Roman"/>
          <w:b/>
          <w:bCs/>
          <w:i/>
          <w:sz w:val="22"/>
          <w:szCs w:val="22"/>
        </w:rPr>
        <w:t xml:space="preserve">§ 3 Ausnahmen vom Verbot </w:t>
      </w:r>
    </w:p>
    <w:p w14:paraId="0977C2BB" w14:textId="77777777" w:rsidR="00BF0246" w:rsidRPr="007874C3" w:rsidRDefault="00BF0246" w:rsidP="00BF0246">
      <w:pPr>
        <w:pStyle w:val="COGFlietextohne"/>
        <w:rPr>
          <w:rFonts w:ascii="Times New Roman" w:hAnsi="Times New Roman" w:cs="Times New Roman"/>
          <w:i/>
          <w:sz w:val="22"/>
          <w:szCs w:val="22"/>
        </w:rPr>
      </w:pPr>
      <w:r w:rsidRPr="007874C3">
        <w:rPr>
          <w:rFonts w:ascii="Times New Roman" w:hAnsi="Times New Roman" w:cs="Times New Roman"/>
          <w:i/>
          <w:sz w:val="22"/>
          <w:szCs w:val="22"/>
        </w:rPr>
        <w:t xml:space="preserve">(1) Ausgenommen von dem Verbot nach § 2 sind </w:t>
      </w:r>
    </w:p>
    <w:p w14:paraId="52762D1D" w14:textId="77777777" w:rsidR="00BF0246" w:rsidRPr="007874C3" w:rsidRDefault="00BF0246" w:rsidP="00BF0246">
      <w:pPr>
        <w:pStyle w:val="COGFlietextohne"/>
        <w:numPr>
          <w:ilvl w:val="0"/>
          <w:numId w:val="42"/>
        </w:numPr>
        <w:rPr>
          <w:rFonts w:ascii="Times New Roman" w:hAnsi="Times New Roman" w:cs="Times New Roman"/>
          <w:i/>
          <w:sz w:val="22"/>
          <w:szCs w:val="22"/>
        </w:rPr>
      </w:pPr>
      <w:r w:rsidRPr="007874C3">
        <w:rPr>
          <w:rFonts w:ascii="Times New Roman" w:hAnsi="Times New Roman" w:cs="Times New Roman"/>
          <w:i/>
          <w:sz w:val="22"/>
          <w:szCs w:val="22"/>
        </w:rPr>
        <w:t>Geschenke bis zu einem Wert von 15,- €,</w:t>
      </w:r>
    </w:p>
    <w:p w14:paraId="1AAD9FAF" w14:textId="77777777" w:rsidR="00BF0246" w:rsidRPr="007874C3" w:rsidRDefault="00BF0246" w:rsidP="00BF0246">
      <w:pPr>
        <w:pStyle w:val="COGFlietextohne"/>
        <w:numPr>
          <w:ilvl w:val="0"/>
          <w:numId w:val="42"/>
        </w:numPr>
        <w:rPr>
          <w:rFonts w:ascii="Times New Roman" w:hAnsi="Times New Roman" w:cs="Times New Roman"/>
          <w:i/>
          <w:sz w:val="22"/>
          <w:szCs w:val="22"/>
        </w:rPr>
      </w:pPr>
      <w:r w:rsidRPr="007874C3">
        <w:rPr>
          <w:rFonts w:ascii="Times New Roman" w:hAnsi="Times New Roman" w:cs="Times New Roman"/>
          <w:i/>
          <w:sz w:val="22"/>
          <w:szCs w:val="22"/>
        </w:rPr>
        <w:t>Einladungen zu Geschäftsessen, sofern sich diese im üblichen Rahmen und Umfang bewegen,</w:t>
      </w:r>
    </w:p>
    <w:p w14:paraId="11D3B081" w14:textId="77777777" w:rsidR="00BF0246" w:rsidRPr="007874C3" w:rsidRDefault="00BF0246" w:rsidP="00BF0246">
      <w:pPr>
        <w:pStyle w:val="COGFlietextohne"/>
        <w:numPr>
          <w:ilvl w:val="0"/>
          <w:numId w:val="42"/>
        </w:numPr>
        <w:rPr>
          <w:rFonts w:ascii="Times New Roman" w:hAnsi="Times New Roman" w:cs="Times New Roman"/>
          <w:i/>
          <w:sz w:val="22"/>
          <w:szCs w:val="22"/>
        </w:rPr>
      </w:pPr>
      <w:r w:rsidRPr="007874C3">
        <w:rPr>
          <w:rFonts w:ascii="Times New Roman" w:hAnsi="Times New Roman" w:cs="Times New Roman"/>
          <w:i/>
          <w:sz w:val="22"/>
          <w:szCs w:val="22"/>
        </w:rPr>
        <w:lastRenderedPageBreak/>
        <w:t>Einladungen zu allgemein üblichen Festen, wie etwa dienstlichen Veranstaltungen, Eröffnungen, Einweihungen, Jubiläen.</w:t>
      </w:r>
    </w:p>
    <w:p w14:paraId="0126F39F" w14:textId="77777777" w:rsidR="00BF0246" w:rsidRPr="007874C3" w:rsidRDefault="00BF0246" w:rsidP="00BF0246">
      <w:pPr>
        <w:pStyle w:val="COGFlietextohne"/>
        <w:rPr>
          <w:rFonts w:ascii="Times New Roman" w:hAnsi="Times New Roman" w:cs="Times New Roman"/>
          <w:i/>
          <w:sz w:val="22"/>
          <w:szCs w:val="22"/>
        </w:rPr>
      </w:pPr>
    </w:p>
    <w:p w14:paraId="4E5CDB6D" w14:textId="77777777" w:rsidR="00BF0246" w:rsidRPr="007874C3" w:rsidRDefault="00BF0246" w:rsidP="00BF0246">
      <w:pPr>
        <w:pStyle w:val="COGFlietextohne"/>
        <w:rPr>
          <w:rFonts w:ascii="Times New Roman" w:hAnsi="Times New Roman" w:cs="Times New Roman"/>
          <w:i/>
          <w:sz w:val="22"/>
          <w:szCs w:val="22"/>
        </w:rPr>
      </w:pPr>
      <w:r w:rsidRPr="007874C3">
        <w:rPr>
          <w:rFonts w:ascii="Times New Roman" w:hAnsi="Times New Roman" w:cs="Times New Roman"/>
          <w:i/>
          <w:sz w:val="22"/>
          <w:szCs w:val="22"/>
        </w:rPr>
        <w:t xml:space="preserve">(2) Die Entgegennahme von Einladungen oder Geschenken, die den zuvor genannten Rahmen übersteigen, sind der Dienststellenleitung (alternativ: dem Compliance-Verantwortlichen) unverzüglich zu melden. </w:t>
      </w:r>
    </w:p>
    <w:p w14:paraId="5B5AB512" w14:textId="77777777" w:rsidR="00BF0246" w:rsidRPr="007874C3" w:rsidRDefault="00BF0246" w:rsidP="00BF0246">
      <w:pPr>
        <w:pStyle w:val="COGFlietextohne"/>
        <w:rPr>
          <w:rFonts w:ascii="Times New Roman" w:hAnsi="Times New Roman" w:cs="Times New Roman"/>
          <w:i/>
          <w:sz w:val="22"/>
          <w:szCs w:val="22"/>
        </w:rPr>
      </w:pPr>
    </w:p>
    <w:p w14:paraId="41E15BFD" w14:textId="77777777" w:rsidR="00BF0246" w:rsidRPr="007874C3" w:rsidRDefault="00BF0246" w:rsidP="00BF0246">
      <w:pPr>
        <w:pStyle w:val="COGFlietextohne"/>
        <w:rPr>
          <w:rFonts w:ascii="Times New Roman" w:hAnsi="Times New Roman" w:cs="Times New Roman"/>
          <w:i/>
          <w:sz w:val="22"/>
          <w:szCs w:val="22"/>
        </w:rPr>
      </w:pPr>
      <w:r w:rsidRPr="007874C3">
        <w:rPr>
          <w:rFonts w:ascii="Times New Roman" w:hAnsi="Times New Roman" w:cs="Times New Roman"/>
          <w:i/>
          <w:sz w:val="22"/>
          <w:szCs w:val="22"/>
        </w:rPr>
        <w:t xml:space="preserve">(3) Bestehen Zweifel, ob die Annahme oder das Anbieten der Einladung oder des Geschenks verboten sind, ist die Zustimmung der Dienststellenleitung (alternativ: dem Compliance-Verantwortlichen) einzuholen. Im Zweifel ist das Anbieten oder die Annahme des Vorteils zu unterlassen. </w:t>
      </w:r>
    </w:p>
    <w:p w14:paraId="7D92DAB0" w14:textId="77777777" w:rsidR="00BF0246" w:rsidRPr="007874C3" w:rsidRDefault="00BF0246" w:rsidP="00BF0246">
      <w:pPr>
        <w:pStyle w:val="COGFlietextohne"/>
        <w:rPr>
          <w:rFonts w:asciiTheme="minorHAnsi" w:hAnsiTheme="minorHAnsi"/>
          <w:i/>
        </w:rPr>
      </w:pPr>
    </w:p>
    <w:p w14:paraId="05DC93B8" w14:textId="77777777" w:rsidR="00BF0246" w:rsidRPr="007874C3" w:rsidRDefault="00BF0246" w:rsidP="00BF0246">
      <w:pPr>
        <w:pStyle w:val="COGFlietextohne"/>
        <w:rPr>
          <w:rStyle w:val="Schritt"/>
          <w:rFonts w:ascii="Times New Roman" w:hAnsi="Times New Roman" w:cs="Times New Roman"/>
          <w:b/>
          <w:bCs/>
          <w:i/>
          <w:sz w:val="22"/>
          <w:szCs w:val="22"/>
        </w:rPr>
      </w:pPr>
      <w:r w:rsidRPr="007874C3">
        <w:rPr>
          <w:rStyle w:val="Schritt"/>
          <w:rFonts w:ascii="Times New Roman" w:hAnsi="Times New Roman" w:cs="Times New Roman"/>
          <w:b/>
          <w:bCs/>
          <w:i/>
          <w:sz w:val="22"/>
          <w:szCs w:val="22"/>
        </w:rPr>
        <w:t xml:space="preserve">§ 4 Meldepflichten </w:t>
      </w:r>
    </w:p>
    <w:p w14:paraId="7A1B9E08" w14:textId="77777777" w:rsidR="00BF0246" w:rsidRPr="007874C3" w:rsidRDefault="00BF0246" w:rsidP="00BF0246">
      <w:pPr>
        <w:pStyle w:val="COGFlietextohne"/>
        <w:rPr>
          <w:rFonts w:ascii="Times New Roman" w:hAnsi="Times New Roman" w:cs="Times New Roman"/>
          <w:sz w:val="22"/>
          <w:szCs w:val="22"/>
        </w:rPr>
      </w:pPr>
      <w:r w:rsidRPr="007874C3">
        <w:rPr>
          <w:rFonts w:ascii="Times New Roman" w:hAnsi="Times New Roman" w:cs="Times New Roman"/>
          <w:i/>
          <w:sz w:val="22"/>
          <w:szCs w:val="22"/>
        </w:rPr>
        <w:t>(1) Versuche Dritter, einem Mitarbeiter unserer Dienststelle mit dem Angebot eines Vorteils in seiner Entscheidung zu beeinflussen, sind unverzüglich der Dienststellenleitung zu melden.</w:t>
      </w:r>
    </w:p>
    <w:p w14:paraId="108A8ED9" w14:textId="77777777" w:rsidR="00BF0246" w:rsidRPr="007874C3" w:rsidRDefault="00BF0246" w:rsidP="00BF0246">
      <w:pPr>
        <w:autoSpaceDE w:val="0"/>
        <w:autoSpaceDN w:val="0"/>
        <w:adjustRightInd w:val="0"/>
        <w:jc w:val="both"/>
        <w:rPr>
          <w:sz w:val="22"/>
          <w:szCs w:val="22"/>
          <w:highlight w:val="lightGray"/>
        </w:rPr>
      </w:pPr>
    </w:p>
    <w:p w14:paraId="2E96CAB6" w14:textId="77777777" w:rsidR="00BF0246" w:rsidRPr="007874C3" w:rsidRDefault="00BF0246" w:rsidP="00BF0246">
      <w:pPr>
        <w:pStyle w:val="COGFlietextohne"/>
        <w:rPr>
          <w:rFonts w:ascii="Times New Roman" w:hAnsi="Times New Roman" w:cs="Times New Roman"/>
          <w:i/>
          <w:sz w:val="22"/>
          <w:szCs w:val="22"/>
        </w:rPr>
      </w:pPr>
      <w:r w:rsidRPr="007874C3">
        <w:rPr>
          <w:rFonts w:ascii="Times New Roman" w:hAnsi="Times New Roman" w:cs="Times New Roman"/>
          <w:i/>
          <w:sz w:val="22"/>
          <w:szCs w:val="22"/>
        </w:rPr>
        <w:t xml:space="preserve">(2) Sofern ein Verdacht vorliegt, dass ein Verstoß gegen diese Compliance-Richtlinie vorliegt, ist unverzüglich die Dienststellenleitung (alternativ: dem Compliance-Verantwortlichen) zu informieren. </w:t>
      </w:r>
    </w:p>
    <w:p w14:paraId="69EB8494" w14:textId="77777777" w:rsidR="00BF0246" w:rsidRPr="007874C3" w:rsidRDefault="00BF0246" w:rsidP="00BF0246">
      <w:pPr>
        <w:pStyle w:val="COGFlietextohne"/>
        <w:rPr>
          <w:rFonts w:asciiTheme="minorHAnsi" w:hAnsiTheme="minorHAnsi"/>
          <w:i/>
        </w:rPr>
      </w:pPr>
    </w:p>
    <w:p w14:paraId="0B4A0127" w14:textId="77777777" w:rsidR="00BF0246" w:rsidRPr="007874C3" w:rsidRDefault="00BF0246" w:rsidP="00BF0246">
      <w:pPr>
        <w:pStyle w:val="COGFlietextohne"/>
        <w:rPr>
          <w:rStyle w:val="Schritt"/>
          <w:rFonts w:ascii="Times New Roman" w:hAnsi="Times New Roman" w:cs="Times New Roman"/>
          <w:b/>
          <w:bCs/>
          <w:i/>
          <w:sz w:val="22"/>
          <w:szCs w:val="22"/>
        </w:rPr>
      </w:pPr>
      <w:r w:rsidRPr="007874C3">
        <w:rPr>
          <w:rStyle w:val="Schritt"/>
          <w:rFonts w:ascii="Times New Roman" w:hAnsi="Times New Roman" w:cs="Times New Roman"/>
          <w:b/>
          <w:bCs/>
          <w:i/>
          <w:sz w:val="22"/>
          <w:szCs w:val="22"/>
        </w:rPr>
        <w:t>§ 5 Schutz von Hinweisgebern („Whistleblowern“)</w:t>
      </w:r>
    </w:p>
    <w:p w14:paraId="311AF169" w14:textId="77777777" w:rsidR="00BF0246" w:rsidRPr="007874C3" w:rsidRDefault="00BF0246" w:rsidP="00BF0246">
      <w:pPr>
        <w:pStyle w:val="COGFlietextohne"/>
        <w:rPr>
          <w:rFonts w:ascii="Times New Roman" w:hAnsi="Times New Roman" w:cs="Times New Roman"/>
          <w:i/>
          <w:sz w:val="22"/>
          <w:szCs w:val="22"/>
        </w:rPr>
      </w:pPr>
      <w:r w:rsidRPr="007874C3">
        <w:rPr>
          <w:rFonts w:ascii="Times New Roman" w:hAnsi="Times New Roman" w:cs="Times New Roman"/>
          <w:i/>
          <w:sz w:val="22"/>
          <w:szCs w:val="22"/>
        </w:rPr>
        <w:t xml:space="preserve">(1) Um Verstöße gegen diese Richtlinie und andere verbotene Verhaltensweisen aufzudecken, ist die Dienststelle auf Informationen von Dritten und von Mitarbeitern angewiesen. Aus diesem Grunde wurde ein Hinweisgebersystem aufgebaut, dass es mitwissenden Mitarbeitern erlaubt, ihren Verdacht namentlich oder anonym zu melden. </w:t>
      </w:r>
    </w:p>
    <w:p w14:paraId="71AC247B" w14:textId="77777777" w:rsidR="00BF0246" w:rsidRPr="007874C3" w:rsidRDefault="00BF0246" w:rsidP="00BF0246">
      <w:pPr>
        <w:pStyle w:val="COGFlietextohne"/>
        <w:rPr>
          <w:rFonts w:ascii="Times New Roman" w:hAnsi="Times New Roman" w:cs="Times New Roman"/>
          <w:i/>
          <w:sz w:val="22"/>
          <w:szCs w:val="22"/>
        </w:rPr>
      </w:pPr>
    </w:p>
    <w:p w14:paraId="74006CA1" w14:textId="77777777" w:rsidR="00BF0246" w:rsidRPr="007874C3" w:rsidRDefault="00BF0246" w:rsidP="00BF0246">
      <w:pPr>
        <w:pStyle w:val="COGFlietextohne"/>
        <w:rPr>
          <w:rFonts w:ascii="Times New Roman" w:hAnsi="Times New Roman" w:cs="Times New Roman"/>
          <w:i/>
          <w:sz w:val="22"/>
          <w:szCs w:val="22"/>
        </w:rPr>
      </w:pPr>
      <w:r w:rsidRPr="007874C3">
        <w:rPr>
          <w:rFonts w:ascii="Times New Roman" w:hAnsi="Times New Roman" w:cs="Times New Roman"/>
          <w:i/>
          <w:sz w:val="22"/>
          <w:szCs w:val="22"/>
        </w:rPr>
        <w:t xml:space="preserve">(2) Anonyme Meldungen können auf den folgenden Wegen erfolgen: </w:t>
      </w:r>
    </w:p>
    <w:p w14:paraId="4F5456B2" w14:textId="77777777" w:rsidR="00BF0246" w:rsidRPr="007874C3" w:rsidRDefault="00BF0246" w:rsidP="00BF0246">
      <w:pPr>
        <w:pStyle w:val="COGFlietextohne"/>
        <w:numPr>
          <w:ilvl w:val="0"/>
          <w:numId w:val="43"/>
        </w:numPr>
        <w:rPr>
          <w:rFonts w:ascii="Times New Roman" w:hAnsi="Times New Roman" w:cs="Times New Roman"/>
          <w:i/>
          <w:sz w:val="22"/>
          <w:szCs w:val="22"/>
        </w:rPr>
      </w:pPr>
      <w:r w:rsidRPr="007874C3">
        <w:rPr>
          <w:rFonts w:ascii="Times New Roman" w:hAnsi="Times New Roman" w:cs="Times New Roman"/>
          <w:i/>
          <w:sz w:val="22"/>
          <w:szCs w:val="22"/>
        </w:rPr>
        <w:t xml:space="preserve">per </w:t>
      </w:r>
      <w:proofErr w:type="gramStart"/>
      <w:r w:rsidRPr="007874C3">
        <w:rPr>
          <w:rFonts w:ascii="Times New Roman" w:hAnsi="Times New Roman" w:cs="Times New Roman"/>
          <w:i/>
          <w:sz w:val="22"/>
          <w:szCs w:val="22"/>
        </w:rPr>
        <w:t>Email</w:t>
      </w:r>
      <w:proofErr w:type="gramEnd"/>
      <w:r w:rsidRPr="007874C3">
        <w:rPr>
          <w:rFonts w:ascii="Times New Roman" w:hAnsi="Times New Roman" w:cs="Times New Roman"/>
          <w:i/>
          <w:sz w:val="22"/>
          <w:szCs w:val="22"/>
        </w:rPr>
        <w:t xml:space="preserve"> an …</w:t>
      </w:r>
    </w:p>
    <w:p w14:paraId="718ECE64" w14:textId="77777777" w:rsidR="00BF0246" w:rsidRPr="007874C3" w:rsidRDefault="00BF0246" w:rsidP="00BF0246">
      <w:pPr>
        <w:pStyle w:val="COGFlietextohne"/>
        <w:numPr>
          <w:ilvl w:val="0"/>
          <w:numId w:val="43"/>
        </w:numPr>
        <w:rPr>
          <w:rFonts w:ascii="Times New Roman" w:hAnsi="Times New Roman" w:cs="Times New Roman"/>
          <w:i/>
          <w:sz w:val="22"/>
          <w:szCs w:val="22"/>
        </w:rPr>
      </w:pPr>
      <w:r w:rsidRPr="007874C3">
        <w:rPr>
          <w:rFonts w:ascii="Times New Roman" w:hAnsi="Times New Roman" w:cs="Times New Roman"/>
          <w:i/>
          <w:sz w:val="22"/>
          <w:szCs w:val="22"/>
        </w:rPr>
        <w:t xml:space="preserve">telefonisch an unsere </w:t>
      </w:r>
      <w:proofErr w:type="spellStart"/>
      <w:r w:rsidRPr="007874C3">
        <w:rPr>
          <w:rFonts w:ascii="Times New Roman" w:hAnsi="Times New Roman" w:cs="Times New Roman"/>
          <w:i/>
          <w:sz w:val="22"/>
          <w:szCs w:val="22"/>
        </w:rPr>
        <w:t>Whisteblowing</w:t>
      </w:r>
      <w:proofErr w:type="spellEnd"/>
      <w:r w:rsidRPr="007874C3">
        <w:rPr>
          <w:rFonts w:ascii="Times New Roman" w:hAnsi="Times New Roman" w:cs="Times New Roman"/>
          <w:i/>
          <w:sz w:val="22"/>
          <w:szCs w:val="22"/>
        </w:rPr>
        <w:t xml:space="preserve">-Hotline unter ... oder </w:t>
      </w:r>
    </w:p>
    <w:p w14:paraId="0E90C978" w14:textId="77777777" w:rsidR="00BF0246" w:rsidRPr="007874C3" w:rsidRDefault="00BF0246" w:rsidP="00BF0246">
      <w:pPr>
        <w:pStyle w:val="COGFlietextohne"/>
        <w:numPr>
          <w:ilvl w:val="0"/>
          <w:numId w:val="43"/>
        </w:numPr>
        <w:rPr>
          <w:rFonts w:ascii="Times New Roman" w:hAnsi="Times New Roman" w:cs="Times New Roman"/>
          <w:i/>
          <w:sz w:val="22"/>
          <w:szCs w:val="22"/>
        </w:rPr>
      </w:pPr>
      <w:r w:rsidRPr="007874C3">
        <w:rPr>
          <w:rFonts w:ascii="Times New Roman" w:hAnsi="Times New Roman" w:cs="Times New Roman"/>
          <w:i/>
          <w:sz w:val="22"/>
          <w:szCs w:val="22"/>
        </w:rPr>
        <w:t xml:space="preserve">schriftlich durch Einwurf in den Whistleblowing-Briefkasten, der hier zu finden </w:t>
      </w:r>
      <w:proofErr w:type="gramStart"/>
      <w:r w:rsidRPr="007874C3">
        <w:rPr>
          <w:rFonts w:ascii="Times New Roman" w:hAnsi="Times New Roman" w:cs="Times New Roman"/>
          <w:i/>
          <w:sz w:val="22"/>
          <w:szCs w:val="22"/>
        </w:rPr>
        <w:t>ist: ….</w:t>
      </w:r>
      <w:proofErr w:type="gramEnd"/>
      <w:r w:rsidRPr="007874C3">
        <w:rPr>
          <w:rFonts w:ascii="Times New Roman" w:hAnsi="Times New Roman" w:cs="Times New Roman"/>
          <w:i/>
          <w:sz w:val="22"/>
          <w:szCs w:val="22"/>
        </w:rPr>
        <w:t xml:space="preserve">. </w:t>
      </w:r>
    </w:p>
    <w:p w14:paraId="638DACE0" w14:textId="77777777" w:rsidR="00BF0246" w:rsidRPr="007874C3" w:rsidRDefault="00BF0246" w:rsidP="00BF0246">
      <w:pPr>
        <w:pStyle w:val="COGFlietextohne"/>
        <w:rPr>
          <w:rStyle w:val="Schritt"/>
          <w:rFonts w:asciiTheme="minorHAnsi" w:hAnsiTheme="minorHAnsi"/>
          <w:b/>
          <w:bCs/>
          <w:i/>
        </w:rPr>
      </w:pPr>
    </w:p>
    <w:p w14:paraId="4D2DF4A0" w14:textId="77777777" w:rsidR="00BF0246" w:rsidRPr="007874C3" w:rsidRDefault="00BF0246" w:rsidP="00BF0246">
      <w:pPr>
        <w:pStyle w:val="COGFlietextohne"/>
        <w:rPr>
          <w:rStyle w:val="Schritt"/>
          <w:rFonts w:ascii="Times New Roman" w:hAnsi="Times New Roman" w:cs="Times New Roman"/>
          <w:b/>
          <w:bCs/>
          <w:i/>
          <w:sz w:val="22"/>
          <w:szCs w:val="22"/>
        </w:rPr>
      </w:pPr>
      <w:r w:rsidRPr="007874C3">
        <w:rPr>
          <w:rStyle w:val="Schritt"/>
          <w:rFonts w:ascii="Times New Roman" w:hAnsi="Times New Roman" w:cs="Times New Roman"/>
          <w:b/>
          <w:bCs/>
          <w:i/>
          <w:sz w:val="22"/>
          <w:szCs w:val="22"/>
        </w:rPr>
        <w:t xml:space="preserve">§ 6 Folgen einer Meldung </w:t>
      </w:r>
    </w:p>
    <w:p w14:paraId="770E8380" w14:textId="77777777" w:rsidR="00BF0246" w:rsidRPr="007874C3" w:rsidRDefault="00BF0246" w:rsidP="00BF0246">
      <w:pPr>
        <w:pStyle w:val="COGFlietextohne"/>
        <w:rPr>
          <w:rStyle w:val="Schritt"/>
          <w:rFonts w:ascii="Times New Roman" w:hAnsi="Times New Roman" w:cs="Times New Roman"/>
          <w:i/>
          <w:sz w:val="22"/>
          <w:szCs w:val="22"/>
        </w:rPr>
      </w:pPr>
      <w:r w:rsidRPr="007874C3">
        <w:rPr>
          <w:rStyle w:val="Schritt"/>
          <w:rFonts w:ascii="Times New Roman" w:hAnsi="Times New Roman" w:cs="Times New Roman"/>
          <w:i/>
          <w:sz w:val="22"/>
          <w:szCs w:val="22"/>
        </w:rPr>
        <w:t xml:space="preserve">(1) Die Dienststelle wird jeder Meldung eines Verstoßes oder eines Verdachtsfalls sofort bedingungslos nachgehen und die Angelegenheit gründlich untersuchen. </w:t>
      </w:r>
    </w:p>
    <w:p w14:paraId="02D7BC7D" w14:textId="77777777" w:rsidR="00BF0246" w:rsidRPr="007874C3" w:rsidRDefault="00BF0246" w:rsidP="00BF0246">
      <w:pPr>
        <w:pStyle w:val="COGFlietextohne"/>
        <w:rPr>
          <w:rStyle w:val="Schritt"/>
          <w:rFonts w:ascii="Times New Roman" w:hAnsi="Times New Roman" w:cs="Times New Roman"/>
          <w:i/>
          <w:sz w:val="22"/>
          <w:szCs w:val="22"/>
        </w:rPr>
      </w:pPr>
    </w:p>
    <w:p w14:paraId="2966CBF9" w14:textId="77777777" w:rsidR="00BF0246" w:rsidRPr="007874C3" w:rsidRDefault="00BF0246" w:rsidP="00BF0246">
      <w:pPr>
        <w:autoSpaceDE w:val="0"/>
        <w:autoSpaceDN w:val="0"/>
        <w:adjustRightInd w:val="0"/>
        <w:jc w:val="both"/>
        <w:rPr>
          <w:rStyle w:val="Schritt"/>
          <w:rFonts w:ascii="Times New Roman" w:hAnsi="Times New Roman" w:cs="Times New Roman"/>
          <w:i/>
          <w:sz w:val="22"/>
          <w:szCs w:val="22"/>
        </w:rPr>
      </w:pPr>
      <w:r w:rsidRPr="007874C3">
        <w:rPr>
          <w:rStyle w:val="Schritt"/>
          <w:rFonts w:ascii="Times New Roman" w:hAnsi="Times New Roman" w:cs="Times New Roman"/>
          <w:i/>
          <w:sz w:val="22"/>
          <w:szCs w:val="22"/>
        </w:rPr>
        <w:t>(2) Mitarbeiter, die ehrliche Bedenken äußern, stehen unter dem Schutz der Dienststelle.</w:t>
      </w:r>
    </w:p>
    <w:p w14:paraId="67ABCAA7" w14:textId="77777777" w:rsidR="00BF0246" w:rsidRPr="007874C3" w:rsidRDefault="00BF0246" w:rsidP="00BF0246">
      <w:pPr>
        <w:autoSpaceDE w:val="0"/>
        <w:autoSpaceDN w:val="0"/>
        <w:adjustRightInd w:val="0"/>
        <w:jc w:val="both"/>
        <w:rPr>
          <w:rStyle w:val="Schritt"/>
          <w:rFonts w:cs="MinionPro-Regular"/>
          <w:i/>
          <w:sz w:val="20"/>
          <w:szCs w:val="20"/>
        </w:rPr>
      </w:pPr>
    </w:p>
    <w:p w14:paraId="448A462E" w14:textId="77777777" w:rsidR="00BF0246" w:rsidRPr="007874C3" w:rsidRDefault="00BF0246" w:rsidP="00BF0246">
      <w:pPr>
        <w:pStyle w:val="berschrift3"/>
        <w:rPr>
          <w:i/>
        </w:rPr>
      </w:pPr>
      <w:r w:rsidRPr="007874C3">
        <w:rPr>
          <w:i/>
        </w:rPr>
        <w:t>§ 7 Schlussvorschriften</w:t>
      </w:r>
    </w:p>
    <w:p w14:paraId="07B32091" w14:textId="77777777" w:rsidR="00BF0246" w:rsidRPr="007874C3" w:rsidRDefault="00BF0246" w:rsidP="00BF0246">
      <w:pPr>
        <w:jc w:val="both"/>
        <w:rPr>
          <w:i/>
          <w:sz w:val="22"/>
          <w:szCs w:val="22"/>
        </w:rPr>
      </w:pPr>
      <w:r w:rsidRPr="007874C3">
        <w:rPr>
          <w:i/>
          <w:sz w:val="22"/>
          <w:szCs w:val="22"/>
        </w:rPr>
        <w:t>(1) Diese Dienstvereinbarung tritt zum</w:t>
      </w:r>
      <w:r>
        <w:rPr>
          <w:i/>
          <w:sz w:val="22"/>
          <w:szCs w:val="22"/>
        </w:rPr>
        <w:t xml:space="preserve"> …</w:t>
      </w:r>
      <w:r w:rsidRPr="007874C3">
        <w:rPr>
          <w:i/>
          <w:sz w:val="22"/>
          <w:szCs w:val="22"/>
        </w:rPr>
        <w:t xml:space="preserve"> Kraft und kann mit einer Frist von ... Monaten zum Ende eines Kalenderjahres, erstmals zum</w:t>
      </w:r>
      <w:proofErr w:type="gramStart"/>
      <w:r w:rsidRPr="007874C3">
        <w:rPr>
          <w:i/>
          <w:sz w:val="22"/>
          <w:szCs w:val="22"/>
        </w:rPr>
        <w:t xml:space="preserve"> ....</w:t>
      </w:r>
      <w:proofErr w:type="gramEnd"/>
      <w:r w:rsidRPr="007874C3">
        <w:rPr>
          <w:i/>
          <w:sz w:val="22"/>
          <w:szCs w:val="22"/>
        </w:rPr>
        <w:t xml:space="preserve">.  von jeder Partei schriftlich gekündigt werden. Im Falle der Beendigung der Dienstvereinbarung wirkt diese nach, bis sie durch eine neue Regelung ersetzt wird. </w:t>
      </w:r>
    </w:p>
    <w:p w14:paraId="7DF50395" w14:textId="77777777" w:rsidR="00BF0246" w:rsidRPr="007874C3" w:rsidRDefault="00BF0246" w:rsidP="00BF0246">
      <w:pPr>
        <w:ind w:left="720"/>
        <w:jc w:val="both"/>
        <w:rPr>
          <w:i/>
          <w:sz w:val="22"/>
          <w:szCs w:val="22"/>
        </w:rPr>
      </w:pPr>
    </w:p>
    <w:p w14:paraId="3B977213" w14:textId="77777777" w:rsidR="00BF0246" w:rsidRPr="007874C3" w:rsidRDefault="00BF0246" w:rsidP="00BF0246">
      <w:pPr>
        <w:jc w:val="both"/>
        <w:rPr>
          <w:i/>
          <w:sz w:val="22"/>
          <w:szCs w:val="22"/>
        </w:rPr>
      </w:pPr>
      <w:r w:rsidRPr="007874C3">
        <w:rPr>
          <w:i/>
          <w:sz w:val="22"/>
          <w:szCs w:val="22"/>
        </w:rPr>
        <w:t>(2) Alle Führungskräfte werden die Mitarbeiter ihres Fachbereiches vom Inhalt dieser Dienstvereinbarung unterrichten und auf die Rechte und Pflichten hinweisen.</w:t>
      </w:r>
    </w:p>
    <w:p w14:paraId="3C0021FD" w14:textId="77777777" w:rsidR="00BF0246" w:rsidRPr="007874C3" w:rsidRDefault="00BF0246" w:rsidP="00BF0246">
      <w:pPr>
        <w:pStyle w:val="Listenabsatz"/>
        <w:rPr>
          <w:i/>
          <w:color w:val="000000"/>
          <w:sz w:val="22"/>
          <w:szCs w:val="22"/>
        </w:rPr>
      </w:pPr>
    </w:p>
    <w:p w14:paraId="6C24ADA4" w14:textId="77777777" w:rsidR="00BF0246" w:rsidRPr="007874C3" w:rsidRDefault="00BF0246" w:rsidP="00BF0246">
      <w:pPr>
        <w:jc w:val="both"/>
        <w:rPr>
          <w:i/>
          <w:sz w:val="22"/>
          <w:szCs w:val="22"/>
        </w:rPr>
      </w:pPr>
      <w:r w:rsidRPr="007874C3">
        <w:rPr>
          <w:i/>
          <w:color w:val="000000"/>
          <w:sz w:val="22"/>
          <w:szCs w:val="22"/>
        </w:rPr>
        <w:t>(3) Nachträgliche Änderungen können in beiderseitigem Einverständnis aufgenommen werden, ohne dass die gesamte Dienstvereinbarung gekündigt werden muss.</w:t>
      </w:r>
    </w:p>
    <w:p w14:paraId="56265866" w14:textId="77777777" w:rsidR="00BF0246" w:rsidRPr="007874C3" w:rsidRDefault="00BF0246" w:rsidP="00BF0246">
      <w:pPr>
        <w:pStyle w:val="Listenabsatz"/>
        <w:rPr>
          <w:i/>
          <w:color w:val="000000"/>
          <w:sz w:val="22"/>
          <w:szCs w:val="22"/>
        </w:rPr>
      </w:pPr>
    </w:p>
    <w:p w14:paraId="181A2995" w14:textId="77777777" w:rsidR="00BF0246" w:rsidRPr="007874C3" w:rsidRDefault="00BF0246" w:rsidP="00BF0246">
      <w:pPr>
        <w:jc w:val="both"/>
        <w:rPr>
          <w:i/>
          <w:sz w:val="22"/>
          <w:szCs w:val="22"/>
        </w:rPr>
      </w:pPr>
      <w:r w:rsidRPr="007874C3">
        <w:rPr>
          <w:i/>
          <w:color w:val="000000"/>
          <w:sz w:val="22"/>
          <w:szCs w:val="22"/>
        </w:rPr>
        <w:t>(4) Günstigere gesetzliche Regelunge bleiben von dieser Dienstvereinbarung unberührt.</w:t>
      </w:r>
    </w:p>
    <w:p w14:paraId="3EB9FB84" w14:textId="77777777" w:rsidR="00BF0246" w:rsidRPr="007874C3" w:rsidRDefault="00BF0246" w:rsidP="00BF0246">
      <w:pPr>
        <w:pStyle w:val="Listenabsatz"/>
        <w:rPr>
          <w:i/>
          <w:color w:val="000000"/>
          <w:sz w:val="22"/>
          <w:szCs w:val="22"/>
        </w:rPr>
      </w:pPr>
    </w:p>
    <w:p w14:paraId="7FF2CE3E" w14:textId="77777777" w:rsidR="00BF0246" w:rsidRPr="007874C3" w:rsidRDefault="00BF0246" w:rsidP="00BF0246">
      <w:pPr>
        <w:jc w:val="both"/>
        <w:rPr>
          <w:i/>
          <w:sz w:val="22"/>
          <w:szCs w:val="22"/>
        </w:rPr>
      </w:pPr>
      <w:r w:rsidRPr="007874C3">
        <w:rPr>
          <w:i/>
          <w:color w:val="000000"/>
          <w:sz w:val="22"/>
          <w:szCs w:val="22"/>
        </w:rPr>
        <w:t>(5) Sollten eine oder mehrere Regelungen dieser Dienstvereinbarung unwirksam sein oder werden, so wird dadurch nicht die Wirksamkeit der gesamten Vereinbarung beeinträchtigt. Die unwirksame Bestimmung soll durch eine solche ersetzt werden, die dem von den Parteien beabsichtigten Zweck am nächsten kommt.</w:t>
      </w:r>
    </w:p>
    <w:p w14:paraId="20DF11D1" w14:textId="77777777" w:rsidR="00BF0246" w:rsidRPr="007874C3" w:rsidRDefault="00BF0246" w:rsidP="00BF0246">
      <w:pPr>
        <w:autoSpaceDE w:val="0"/>
        <w:autoSpaceDN w:val="0"/>
        <w:adjustRightInd w:val="0"/>
        <w:jc w:val="both"/>
        <w:rPr>
          <w:i/>
          <w:iCs/>
          <w:color w:val="000000"/>
          <w:sz w:val="22"/>
          <w:szCs w:val="22"/>
          <w:highlight w:val="lightGray"/>
        </w:rPr>
      </w:pPr>
    </w:p>
    <w:p w14:paraId="0F5D5812" w14:textId="26319C6C" w:rsidR="003D4DDA" w:rsidRPr="00BF0246" w:rsidRDefault="00BF0246" w:rsidP="00BF0246">
      <w:pPr>
        <w:autoSpaceDE w:val="0"/>
        <w:autoSpaceDN w:val="0"/>
        <w:adjustRightInd w:val="0"/>
        <w:jc w:val="both"/>
        <w:rPr>
          <w:i/>
          <w:iCs/>
          <w:color w:val="000000"/>
          <w:sz w:val="22"/>
          <w:szCs w:val="22"/>
        </w:rPr>
      </w:pPr>
      <w:r w:rsidRPr="007874C3">
        <w:rPr>
          <w:i/>
          <w:iCs/>
          <w:color w:val="000000"/>
          <w:sz w:val="22"/>
          <w:szCs w:val="22"/>
        </w:rPr>
        <w:t>..., den ...</w:t>
      </w:r>
      <w:r w:rsidRPr="007874C3">
        <w:rPr>
          <w:i/>
          <w:iCs/>
          <w:color w:val="000000"/>
          <w:sz w:val="22"/>
          <w:szCs w:val="22"/>
        </w:rPr>
        <w:tab/>
      </w:r>
      <w:r w:rsidRPr="007874C3">
        <w:rPr>
          <w:i/>
          <w:iCs/>
          <w:color w:val="000000"/>
          <w:sz w:val="22"/>
          <w:szCs w:val="22"/>
        </w:rPr>
        <w:tab/>
      </w:r>
      <w:r w:rsidRPr="007874C3">
        <w:rPr>
          <w:i/>
          <w:iCs/>
          <w:color w:val="000000"/>
          <w:sz w:val="22"/>
          <w:szCs w:val="22"/>
        </w:rPr>
        <w:tab/>
      </w:r>
      <w:r w:rsidRPr="007874C3">
        <w:rPr>
          <w:i/>
          <w:iCs/>
          <w:color w:val="000000"/>
          <w:sz w:val="22"/>
          <w:szCs w:val="22"/>
        </w:rPr>
        <w:tab/>
      </w:r>
      <w:r w:rsidRPr="007874C3">
        <w:rPr>
          <w:i/>
          <w:iCs/>
          <w:color w:val="000000"/>
          <w:sz w:val="22"/>
          <w:szCs w:val="22"/>
        </w:rPr>
        <w:tab/>
      </w:r>
      <w:r w:rsidRPr="007874C3">
        <w:rPr>
          <w:i/>
          <w:iCs/>
          <w:color w:val="000000"/>
          <w:sz w:val="22"/>
          <w:szCs w:val="22"/>
        </w:rPr>
        <w:tab/>
      </w:r>
      <w:r w:rsidRPr="007874C3">
        <w:rPr>
          <w:i/>
          <w:iCs/>
          <w:color w:val="000000"/>
          <w:sz w:val="22"/>
          <w:szCs w:val="22"/>
        </w:rPr>
        <w:tab/>
      </w:r>
      <w:r w:rsidRPr="007874C3">
        <w:rPr>
          <w:i/>
          <w:iCs/>
          <w:color w:val="000000"/>
          <w:sz w:val="22"/>
          <w:szCs w:val="22"/>
        </w:rPr>
        <w:tab/>
      </w:r>
      <w:r w:rsidRPr="007874C3">
        <w:rPr>
          <w:i/>
          <w:iCs/>
          <w:color w:val="000000"/>
          <w:sz w:val="22"/>
          <w:szCs w:val="22"/>
        </w:rPr>
        <w:tab/>
        <w:t>Unterschriften</w:t>
      </w:r>
      <w:r w:rsidR="003D4DDA"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91E8C94"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FD27EF">
        <w:rPr>
          <w:rFonts w:ascii="Arial" w:eastAsia="Times New Roman" w:hAnsi="Arial" w:cs="Arial"/>
          <w:color w:val="868686"/>
          <w:sz w:val="13"/>
          <w:szCs w:val="13"/>
          <w:lang w:eastAsia="de-DE"/>
        </w:rPr>
        <w:t>5</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D3BFC" w14:textId="77777777" w:rsidR="00407A0D" w:rsidRDefault="00407A0D" w:rsidP="00BF7674">
      <w:r>
        <w:separator/>
      </w:r>
    </w:p>
  </w:endnote>
  <w:endnote w:type="continuationSeparator" w:id="0">
    <w:p w14:paraId="134F398D" w14:textId="77777777" w:rsidR="00407A0D" w:rsidRDefault="00407A0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AvenirLT-Heavy">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B82E" w14:textId="77777777" w:rsidR="00407A0D" w:rsidRDefault="00407A0D" w:rsidP="00BF7674">
      <w:r>
        <w:separator/>
      </w:r>
    </w:p>
  </w:footnote>
  <w:footnote w:type="continuationSeparator" w:id="0">
    <w:p w14:paraId="255C54D9" w14:textId="77777777" w:rsidR="00407A0D" w:rsidRDefault="00407A0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5"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0"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39"/>
  </w:num>
  <w:num w:numId="2" w16cid:durableId="573013156">
    <w:abstractNumId w:val="34"/>
  </w:num>
  <w:num w:numId="3" w16cid:durableId="1779830718">
    <w:abstractNumId w:val="9"/>
  </w:num>
  <w:num w:numId="4" w16cid:durableId="725178237">
    <w:abstractNumId w:val="28"/>
  </w:num>
  <w:num w:numId="5" w16cid:durableId="220294192">
    <w:abstractNumId w:val="36"/>
  </w:num>
  <w:num w:numId="6" w16cid:durableId="930698965">
    <w:abstractNumId w:val="37"/>
  </w:num>
  <w:num w:numId="7" w16cid:durableId="1217887320">
    <w:abstractNumId w:val="40"/>
  </w:num>
  <w:num w:numId="8" w16cid:durableId="1581284903">
    <w:abstractNumId w:val="33"/>
  </w:num>
  <w:num w:numId="9" w16cid:durableId="2043164235">
    <w:abstractNumId w:val="31"/>
  </w:num>
  <w:num w:numId="10" w16cid:durableId="359477797">
    <w:abstractNumId w:val="16"/>
  </w:num>
  <w:num w:numId="11" w16cid:durableId="2118863191">
    <w:abstractNumId w:val="32"/>
  </w:num>
  <w:num w:numId="12" w16cid:durableId="1105073630">
    <w:abstractNumId w:val="10"/>
  </w:num>
  <w:num w:numId="13" w16cid:durableId="501816211">
    <w:abstractNumId w:val="4"/>
  </w:num>
  <w:num w:numId="14" w16cid:durableId="2087798823">
    <w:abstractNumId w:val="19"/>
  </w:num>
  <w:num w:numId="15" w16cid:durableId="1222252971">
    <w:abstractNumId w:val="7"/>
  </w:num>
  <w:num w:numId="16" w16cid:durableId="1880429248">
    <w:abstractNumId w:val="27"/>
  </w:num>
  <w:num w:numId="17" w16cid:durableId="2064789847">
    <w:abstractNumId w:val="1"/>
  </w:num>
  <w:num w:numId="18" w16cid:durableId="1674608018">
    <w:abstractNumId w:val="22"/>
  </w:num>
  <w:num w:numId="19" w16cid:durableId="1719551836">
    <w:abstractNumId w:val="25"/>
  </w:num>
  <w:num w:numId="20" w16cid:durableId="1244490335">
    <w:abstractNumId w:val="2"/>
  </w:num>
  <w:num w:numId="21" w16cid:durableId="177737794">
    <w:abstractNumId w:val="14"/>
  </w:num>
  <w:num w:numId="22" w16cid:durableId="917902633">
    <w:abstractNumId w:val="6"/>
  </w:num>
  <w:num w:numId="23" w16cid:durableId="373698778">
    <w:abstractNumId w:val="11"/>
  </w:num>
  <w:num w:numId="24" w16cid:durableId="1589269503">
    <w:abstractNumId w:val="8"/>
  </w:num>
  <w:num w:numId="25" w16cid:durableId="429205834">
    <w:abstractNumId w:val="5"/>
  </w:num>
  <w:num w:numId="26" w16cid:durableId="762335405">
    <w:abstractNumId w:val="3"/>
  </w:num>
  <w:num w:numId="27" w16cid:durableId="1625384825">
    <w:abstractNumId w:val="21"/>
  </w:num>
  <w:num w:numId="28" w16cid:durableId="1697072466">
    <w:abstractNumId w:val="13"/>
  </w:num>
  <w:num w:numId="29" w16cid:durableId="630015363">
    <w:abstractNumId w:val="15"/>
  </w:num>
  <w:num w:numId="30" w16cid:durableId="1777211645">
    <w:abstractNumId w:val="18"/>
  </w:num>
  <w:num w:numId="31" w16cid:durableId="1223832647">
    <w:abstractNumId w:val="29"/>
  </w:num>
  <w:num w:numId="32" w16cid:durableId="1128670099">
    <w:abstractNumId w:val="35"/>
  </w:num>
  <w:num w:numId="33" w16cid:durableId="1417821402">
    <w:abstractNumId w:val="12"/>
  </w:num>
  <w:num w:numId="34" w16cid:durableId="1393113635">
    <w:abstractNumId w:val="30"/>
  </w:num>
  <w:num w:numId="35" w16cid:durableId="919750748">
    <w:abstractNumId w:val="20"/>
  </w:num>
  <w:num w:numId="36" w16cid:durableId="430861448">
    <w:abstractNumId w:val="38"/>
  </w:num>
  <w:num w:numId="37" w16cid:durableId="1799226588">
    <w:abstractNumId w:val="38"/>
  </w:num>
  <w:num w:numId="38" w16cid:durableId="1329752621">
    <w:abstractNumId w:val="26"/>
  </w:num>
  <w:num w:numId="39" w16cid:durableId="621425610">
    <w:abstractNumId w:val="23"/>
  </w:num>
  <w:num w:numId="40" w16cid:durableId="2028360859">
    <w:abstractNumId w:val="41"/>
  </w:num>
  <w:num w:numId="41" w16cid:durableId="1736853224">
    <w:abstractNumId w:val="24"/>
  </w:num>
  <w:num w:numId="42" w16cid:durableId="78332183">
    <w:abstractNumId w:val="17"/>
  </w:num>
  <w:num w:numId="43" w16cid:durableId="142383709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5017"/>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45B5C"/>
    <w:rsid w:val="008525B5"/>
    <w:rsid w:val="00852E94"/>
    <w:rsid w:val="0085457B"/>
    <w:rsid w:val="0086281A"/>
    <w:rsid w:val="00863AAB"/>
    <w:rsid w:val="00873D08"/>
    <w:rsid w:val="008761F9"/>
    <w:rsid w:val="00881BA2"/>
    <w:rsid w:val="0088660B"/>
    <w:rsid w:val="0089483C"/>
    <w:rsid w:val="00897622"/>
    <w:rsid w:val="008A2823"/>
    <w:rsid w:val="008B0350"/>
    <w:rsid w:val="008B25BF"/>
    <w:rsid w:val="008B6F56"/>
    <w:rsid w:val="008C3D15"/>
    <w:rsid w:val="008C527B"/>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5659"/>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364A"/>
    <w:rsid w:val="00BB4301"/>
    <w:rsid w:val="00BC7F5F"/>
    <w:rsid w:val="00BF0246"/>
    <w:rsid w:val="00BF246D"/>
    <w:rsid w:val="00BF7674"/>
    <w:rsid w:val="00C019D7"/>
    <w:rsid w:val="00C01E18"/>
    <w:rsid w:val="00C029C9"/>
    <w:rsid w:val="00C07913"/>
    <w:rsid w:val="00C11A13"/>
    <w:rsid w:val="00C140E0"/>
    <w:rsid w:val="00C22C18"/>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27EF"/>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6048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2023-03-06T07:23:00Z</dcterms:created>
  <dcterms:modified xsi:type="dcterms:W3CDTF">2023-03-06T07:23:00Z</dcterms:modified>
</cp:coreProperties>
</file>