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8A93" w14:textId="77777777" w:rsidR="00E41E6F" w:rsidRPr="00DA70DD" w:rsidRDefault="00E41E6F" w:rsidP="00E41E6F">
      <w:pPr>
        <w:pStyle w:val="PNLSubhead"/>
        <w:outlineLvl w:val="0"/>
      </w:pPr>
      <w:r w:rsidRPr="00DA70DD">
        <w:t>Verhandlungen über Beschwerdestelle: So bereiten Sie sich vor</w:t>
      </w:r>
    </w:p>
    <w:tbl>
      <w:tblPr>
        <w:tblStyle w:val="Tabellenraster"/>
        <w:tblW w:w="9085" w:type="dxa"/>
        <w:tblLayout w:type="fixed"/>
        <w:tblLook w:val="04A0" w:firstRow="1" w:lastRow="0" w:firstColumn="1" w:lastColumn="0" w:noHBand="0" w:noVBand="1"/>
      </w:tblPr>
      <w:tblGrid>
        <w:gridCol w:w="6835"/>
        <w:gridCol w:w="1170"/>
        <w:gridCol w:w="1080"/>
      </w:tblGrid>
      <w:tr w:rsidR="00E41E6F" w:rsidRPr="00DA70DD" w14:paraId="4E331276" w14:textId="77777777" w:rsidTr="00777378">
        <w:tc>
          <w:tcPr>
            <w:tcW w:w="6835" w:type="dxa"/>
          </w:tcPr>
          <w:p w14:paraId="45E813BA" w14:textId="77777777" w:rsidR="00E41E6F" w:rsidRPr="00DA70DD" w:rsidRDefault="00E41E6F" w:rsidP="00777378">
            <w:pPr>
              <w:suppressAutoHyphens/>
              <w:jc w:val="both"/>
              <w:rPr>
                <w:b/>
                <w:sz w:val="22"/>
                <w:szCs w:val="22"/>
              </w:rPr>
            </w:pPr>
          </w:p>
        </w:tc>
        <w:tc>
          <w:tcPr>
            <w:tcW w:w="1170" w:type="dxa"/>
          </w:tcPr>
          <w:p w14:paraId="734996D1" w14:textId="77777777" w:rsidR="00E41E6F" w:rsidRPr="00DA70DD" w:rsidRDefault="00E41E6F" w:rsidP="00777378">
            <w:pPr>
              <w:suppressAutoHyphens/>
              <w:jc w:val="both"/>
              <w:rPr>
                <w:b/>
                <w:sz w:val="22"/>
                <w:szCs w:val="22"/>
              </w:rPr>
            </w:pPr>
            <w:r w:rsidRPr="00DA70DD">
              <w:rPr>
                <w:b/>
                <w:sz w:val="22"/>
                <w:szCs w:val="22"/>
              </w:rPr>
              <w:t>Ja</w:t>
            </w:r>
          </w:p>
        </w:tc>
        <w:tc>
          <w:tcPr>
            <w:tcW w:w="1080" w:type="dxa"/>
          </w:tcPr>
          <w:p w14:paraId="692BBE5E" w14:textId="77777777" w:rsidR="00E41E6F" w:rsidRPr="00DA70DD" w:rsidRDefault="00E41E6F" w:rsidP="00777378">
            <w:pPr>
              <w:suppressAutoHyphens/>
              <w:jc w:val="both"/>
              <w:rPr>
                <w:b/>
                <w:sz w:val="22"/>
                <w:szCs w:val="22"/>
              </w:rPr>
            </w:pPr>
            <w:r w:rsidRPr="00DA70DD">
              <w:rPr>
                <w:b/>
                <w:sz w:val="22"/>
                <w:szCs w:val="22"/>
              </w:rPr>
              <w:t>Nein</w:t>
            </w:r>
          </w:p>
        </w:tc>
      </w:tr>
      <w:tr w:rsidR="00E41E6F" w:rsidRPr="00130893" w14:paraId="45C79D78" w14:textId="77777777" w:rsidTr="00777378">
        <w:tc>
          <w:tcPr>
            <w:tcW w:w="6835" w:type="dxa"/>
          </w:tcPr>
          <w:p w14:paraId="18580B71" w14:textId="77777777" w:rsidR="00E41E6F" w:rsidRPr="00DA70DD" w:rsidRDefault="00E41E6F" w:rsidP="00777378">
            <w:pPr>
              <w:suppressAutoHyphens/>
              <w:rPr>
                <w:sz w:val="22"/>
                <w:szCs w:val="22"/>
              </w:rPr>
            </w:pPr>
            <w:r w:rsidRPr="00DA70DD">
              <w:rPr>
                <w:sz w:val="22"/>
                <w:szCs w:val="22"/>
              </w:rPr>
              <w:t>Sind Sie sich bewusst, dass Ihre Dienststelle nach dem Allgemeinen Gleichbehandlungsgesetz (AGG) gesetzlich verpflichtet ist, eine interne Beschwerdestelle einzurichten?</w:t>
            </w:r>
          </w:p>
        </w:tc>
        <w:tc>
          <w:tcPr>
            <w:tcW w:w="1170" w:type="dxa"/>
          </w:tcPr>
          <w:p w14:paraId="04BBA7F9" w14:textId="77777777" w:rsidR="00E41E6F" w:rsidRPr="00DA70DD" w:rsidRDefault="00E41E6F" w:rsidP="00777378">
            <w:pPr>
              <w:suppressAutoHyphens/>
              <w:jc w:val="both"/>
              <w:rPr>
                <w:sz w:val="22"/>
                <w:szCs w:val="22"/>
              </w:rPr>
            </w:pPr>
          </w:p>
        </w:tc>
        <w:tc>
          <w:tcPr>
            <w:tcW w:w="1080" w:type="dxa"/>
          </w:tcPr>
          <w:p w14:paraId="2E27BE98" w14:textId="77777777" w:rsidR="00E41E6F" w:rsidRPr="00DA70DD" w:rsidRDefault="00E41E6F" w:rsidP="00777378">
            <w:pPr>
              <w:suppressAutoHyphens/>
              <w:jc w:val="both"/>
              <w:rPr>
                <w:sz w:val="22"/>
                <w:szCs w:val="22"/>
              </w:rPr>
            </w:pPr>
          </w:p>
        </w:tc>
      </w:tr>
      <w:tr w:rsidR="00E41E6F" w:rsidRPr="00130893" w14:paraId="6D7F0BB6" w14:textId="77777777" w:rsidTr="00777378">
        <w:tc>
          <w:tcPr>
            <w:tcW w:w="6835" w:type="dxa"/>
          </w:tcPr>
          <w:p w14:paraId="15F0CCAD" w14:textId="77777777" w:rsidR="00E41E6F" w:rsidRPr="00DA70DD" w:rsidRDefault="00E41E6F" w:rsidP="00777378">
            <w:pPr>
              <w:suppressAutoHyphens/>
              <w:rPr>
                <w:sz w:val="22"/>
                <w:szCs w:val="22"/>
              </w:rPr>
            </w:pPr>
            <w:r w:rsidRPr="00DA70DD">
              <w:rPr>
                <w:sz w:val="22"/>
                <w:szCs w:val="22"/>
              </w:rPr>
              <w:t>Haben Sie bedacht, dass Ihre Dienststelle dagegen nicht dazu verpflichtet sind, hierzu extra eine eigenständige Stelle (z. B. einen Antidiskriminierungsbeauftragten) zu schaffen?</w:t>
            </w:r>
          </w:p>
        </w:tc>
        <w:tc>
          <w:tcPr>
            <w:tcW w:w="1170" w:type="dxa"/>
          </w:tcPr>
          <w:p w14:paraId="51E8D8A5" w14:textId="77777777" w:rsidR="00E41E6F" w:rsidRPr="00DA70DD" w:rsidRDefault="00E41E6F" w:rsidP="00777378">
            <w:pPr>
              <w:suppressAutoHyphens/>
              <w:jc w:val="both"/>
              <w:rPr>
                <w:sz w:val="22"/>
                <w:szCs w:val="22"/>
              </w:rPr>
            </w:pPr>
          </w:p>
        </w:tc>
        <w:tc>
          <w:tcPr>
            <w:tcW w:w="1080" w:type="dxa"/>
          </w:tcPr>
          <w:p w14:paraId="6CCC1CF0" w14:textId="77777777" w:rsidR="00E41E6F" w:rsidRPr="00DA70DD" w:rsidRDefault="00E41E6F" w:rsidP="00777378">
            <w:pPr>
              <w:suppressAutoHyphens/>
              <w:jc w:val="both"/>
              <w:rPr>
                <w:sz w:val="22"/>
                <w:szCs w:val="22"/>
              </w:rPr>
            </w:pPr>
          </w:p>
        </w:tc>
      </w:tr>
      <w:tr w:rsidR="00E41E6F" w:rsidRPr="00130893" w14:paraId="6DE650D4" w14:textId="77777777" w:rsidTr="00777378">
        <w:tc>
          <w:tcPr>
            <w:tcW w:w="6835" w:type="dxa"/>
          </w:tcPr>
          <w:p w14:paraId="3DF12DF1" w14:textId="77777777" w:rsidR="00E41E6F" w:rsidRPr="00DA70DD" w:rsidRDefault="00E41E6F" w:rsidP="00777378">
            <w:pPr>
              <w:suppressAutoHyphens/>
              <w:rPr>
                <w:sz w:val="22"/>
                <w:szCs w:val="22"/>
              </w:rPr>
            </w:pPr>
            <w:r w:rsidRPr="00DA70DD">
              <w:rPr>
                <w:sz w:val="22"/>
                <w:szCs w:val="22"/>
              </w:rPr>
              <w:t>Hat die Dienststellenleitung gegenüber Ihren Kolleginnen und Kollegen bekannt gegeben, wer in Ihrem Betrieb für die Entgegennahme von Beschwerden zuständig ist?</w:t>
            </w:r>
          </w:p>
        </w:tc>
        <w:tc>
          <w:tcPr>
            <w:tcW w:w="1170" w:type="dxa"/>
          </w:tcPr>
          <w:p w14:paraId="687C54E2" w14:textId="77777777" w:rsidR="00E41E6F" w:rsidRPr="00DA70DD" w:rsidRDefault="00E41E6F" w:rsidP="00777378">
            <w:pPr>
              <w:suppressAutoHyphens/>
              <w:jc w:val="both"/>
              <w:rPr>
                <w:sz w:val="22"/>
                <w:szCs w:val="22"/>
              </w:rPr>
            </w:pPr>
          </w:p>
        </w:tc>
        <w:tc>
          <w:tcPr>
            <w:tcW w:w="1080" w:type="dxa"/>
          </w:tcPr>
          <w:p w14:paraId="04D1563F" w14:textId="77777777" w:rsidR="00E41E6F" w:rsidRPr="00DA70DD" w:rsidRDefault="00E41E6F" w:rsidP="00777378">
            <w:pPr>
              <w:suppressAutoHyphens/>
              <w:jc w:val="both"/>
              <w:rPr>
                <w:sz w:val="22"/>
                <w:szCs w:val="22"/>
              </w:rPr>
            </w:pPr>
          </w:p>
        </w:tc>
      </w:tr>
      <w:tr w:rsidR="00E41E6F" w:rsidRPr="00130893" w14:paraId="2E192B48" w14:textId="77777777" w:rsidTr="00777378">
        <w:tc>
          <w:tcPr>
            <w:tcW w:w="6835" w:type="dxa"/>
          </w:tcPr>
          <w:p w14:paraId="37B7B9B8" w14:textId="77777777" w:rsidR="00E41E6F" w:rsidRPr="00DA70DD" w:rsidRDefault="00E41E6F" w:rsidP="00777378">
            <w:pPr>
              <w:suppressAutoHyphens/>
              <w:rPr>
                <w:sz w:val="22"/>
                <w:szCs w:val="22"/>
              </w:rPr>
            </w:pPr>
            <w:r w:rsidRPr="00DA70DD">
              <w:rPr>
                <w:sz w:val="22"/>
                <w:szCs w:val="22"/>
              </w:rPr>
              <w:t>Haben Sie gemeinsam mit der Dienststellenleitung eine für die Entgegennahme von Beschwerden empfangsberechtigte Stelle ausgewählt?</w:t>
            </w:r>
          </w:p>
        </w:tc>
        <w:tc>
          <w:tcPr>
            <w:tcW w:w="1170" w:type="dxa"/>
          </w:tcPr>
          <w:p w14:paraId="1E5CA67B" w14:textId="77777777" w:rsidR="00E41E6F" w:rsidRPr="00DA70DD" w:rsidRDefault="00E41E6F" w:rsidP="00777378">
            <w:pPr>
              <w:suppressAutoHyphens/>
              <w:jc w:val="both"/>
              <w:rPr>
                <w:sz w:val="22"/>
                <w:szCs w:val="22"/>
              </w:rPr>
            </w:pPr>
          </w:p>
        </w:tc>
        <w:tc>
          <w:tcPr>
            <w:tcW w:w="1080" w:type="dxa"/>
          </w:tcPr>
          <w:p w14:paraId="636B7FF8" w14:textId="77777777" w:rsidR="00E41E6F" w:rsidRPr="00DA70DD" w:rsidRDefault="00E41E6F" w:rsidP="00777378">
            <w:pPr>
              <w:suppressAutoHyphens/>
              <w:jc w:val="both"/>
              <w:rPr>
                <w:sz w:val="22"/>
                <w:szCs w:val="22"/>
              </w:rPr>
            </w:pPr>
          </w:p>
        </w:tc>
      </w:tr>
      <w:tr w:rsidR="00E41E6F" w:rsidRPr="00130893" w14:paraId="1F580C39" w14:textId="77777777" w:rsidTr="00777378">
        <w:tc>
          <w:tcPr>
            <w:tcW w:w="6835" w:type="dxa"/>
          </w:tcPr>
          <w:p w14:paraId="169E28FF" w14:textId="77777777" w:rsidR="00E41E6F" w:rsidRPr="00DA70DD" w:rsidRDefault="00E41E6F" w:rsidP="00777378">
            <w:pPr>
              <w:suppressAutoHyphens/>
              <w:rPr>
                <w:sz w:val="22"/>
                <w:szCs w:val="22"/>
              </w:rPr>
            </w:pPr>
            <w:r w:rsidRPr="00DA70DD">
              <w:rPr>
                <w:sz w:val="22"/>
                <w:szCs w:val="22"/>
              </w:rPr>
              <w:t>Haben Sie berücksichtigt, dass sich die Beschwerdestelle gemäß § 13 AGG nur mit Beschwerden nach dem AGG befassen muss?</w:t>
            </w:r>
          </w:p>
        </w:tc>
        <w:tc>
          <w:tcPr>
            <w:tcW w:w="1170" w:type="dxa"/>
          </w:tcPr>
          <w:p w14:paraId="4C978F2F" w14:textId="77777777" w:rsidR="00E41E6F" w:rsidRPr="00DA70DD" w:rsidRDefault="00E41E6F" w:rsidP="00777378">
            <w:pPr>
              <w:suppressAutoHyphens/>
              <w:jc w:val="both"/>
              <w:rPr>
                <w:sz w:val="22"/>
                <w:szCs w:val="22"/>
              </w:rPr>
            </w:pPr>
          </w:p>
        </w:tc>
        <w:tc>
          <w:tcPr>
            <w:tcW w:w="1080" w:type="dxa"/>
          </w:tcPr>
          <w:p w14:paraId="6D5CE207" w14:textId="77777777" w:rsidR="00E41E6F" w:rsidRPr="00DA70DD" w:rsidRDefault="00E41E6F" w:rsidP="00777378">
            <w:pPr>
              <w:suppressAutoHyphens/>
              <w:jc w:val="both"/>
              <w:rPr>
                <w:sz w:val="22"/>
                <w:szCs w:val="22"/>
              </w:rPr>
            </w:pPr>
          </w:p>
        </w:tc>
      </w:tr>
      <w:tr w:rsidR="00E41E6F" w:rsidRPr="00130893" w14:paraId="27254936" w14:textId="77777777" w:rsidTr="00777378">
        <w:tc>
          <w:tcPr>
            <w:tcW w:w="6835" w:type="dxa"/>
          </w:tcPr>
          <w:p w14:paraId="0FD9ACEB" w14:textId="77777777" w:rsidR="00E41E6F" w:rsidRPr="00DA70DD" w:rsidRDefault="00E41E6F" w:rsidP="00777378">
            <w:pPr>
              <w:suppressAutoHyphens/>
              <w:rPr>
                <w:sz w:val="22"/>
                <w:szCs w:val="22"/>
              </w:rPr>
            </w:pPr>
            <w:r w:rsidRPr="00DA70DD">
              <w:rPr>
                <w:sz w:val="22"/>
                <w:szCs w:val="22"/>
              </w:rPr>
              <w:t>Bedenken Sie, dass institutionalisierte Regeln im Sinne einer Beschwerdeordnung durchaus Mitbestimmungsrechte für Sie als Personalrat auslösen können?</w:t>
            </w:r>
          </w:p>
        </w:tc>
        <w:tc>
          <w:tcPr>
            <w:tcW w:w="1170" w:type="dxa"/>
          </w:tcPr>
          <w:p w14:paraId="2CCB6E6B" w14:textId="77777777" w:rsidR="00E41E6F" w:rsidRPr="00DA70DD" w:rsidRDefault="00E41E6F" w:rsidP="00777378">
            <w:pPr>
              <w:suppressAutoHyphens/>
              <w:jc w:val="both"/>
              <w:rPr>
                <w:sz w:val="22"/>
                <w:szCs w:val="22"/>
              </w:rPr>
            </w:pPr>
          </w:p>
        </w:tc>
        <w:tc>
          <w:tcPr>
            <w:tcW w:w="1080" w:type="dxa"/>
          </w:tcPr>
          <w:p w14:paraId="1357B772" w14:textId="77777777" w:rsidR="00E41E6F" w:rsidRPr="00DA70DD" w:rsidRDefault="00E41E6F" w:rsidP="00777378">
            <w:pPr>
              <w:suppressAutoHyphens/>
              <w:jc w:val="both"/>
              <w:rPr>
                <w:sz w:val="22"/>
                <w:szCs w:val="22"/>
              </w:rPr>
            </w:pPr>
          </w:p>
        </w:tc>
      </w:tr>
    </w:tbl>
    <w:p w14:paraId="5C766A51" w14:textId="77777777" w:rsidR="00E41E6F" w:rsidRPr="00DA70DD" w:rsidRDefault="00E41E6F" w:rsidP="00E41E6F">
      <w:pPr>
        <w:suppressAutoHyphens/>
        <w:jc w:val="both"/>
        <w:rPr>
          <w:b/>
          <w:sz w:val="22"/>
          <w:szCs w:val="22"/>
          <w:highlight w:val="yellow"/>
        </w:rPr>
      </w:pPr>
    </w:p>
    <w:p w14:paraId="45D98D20" w14:textId="77777777" w:rsidR="00E41E6F" w:rsidRPr="00DA70DD" w:rsidRDefault="00E41E6F" w:rsidP="00E41E6F">
      <w:pPr>
        <w:suppressAutoHyphens/>
        <w:jc w:val="both"/>
        <w:rPr>
          <w:sz w:val="22"/>
          <w:szCs w:val="22"/>
        </w:rPr>
      </w:pPr>
      <w:r w:rsidRPr="00DA70DD">
        <w:rPr>
          <w:sz w:val="22"/>
          <w:szCs w:val="22"/>
        </w:rPr>
        <w:t>Haben Sie alle diese Fragen mit „Ja“ beantwortet, sind Sie als Personalrat optimal auf die Verhandlungen über die Einrichtung einer Beschwerdestelle vorbereitet.</w:t>
      </w:r>
    </w:p>
    <w:p w14:paraId="4607ED73" w14:textId="77777777" w:rsidR="00E41E6F" w:rsidRPr="00DA70DD" w:rsidRDefault="00E41E6F" w:rsidP="00E41E6F">
      <w:pPr>
        <w:suppressAutoHyphens/>
        <w:jc w:val="both"/>
        <w:rPr>
          <w:sz w:val="20"/>
          <w:szCs w:val="20"/>
        </w:rPr>
      </w:pPr>
    </w:p>
    <w:p w14:paraId="0F5D5812" w14:textId="6660B38C" w:rsidR="003D4DDA" w:rsidRPr="00BF0246" w:rsidRDefault="003D4DDA" w:rsidP="00BF0246">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AD91E00"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E41E6F">
        <w:rPr>
          <w:rFonts w:ascii="Arial" w:eastAsia="Times New Roman" w:hAnsi="Arial" w:cs="Arial"/>
          <w:color w:val="868686"/>
          <w:sz w:val="13"/>
          <w:szCs w:val="13"/>
          <w:lang w:eastAsia="de-DE"/>
        </w:rPr>
        <w:t>6</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C7D7" w14:textId="77777777" w:rsidR="00173959" w:rsidRDefault="00173959" w:rsidP="00BF7674">
      <w:r>
        <w:separator/>
      </w:r>
    </w:p>
  </w:endnote>
  <w:endnote w:type="continuationSeparator" w:id="0">
    <w:p w14:paraId="18A136D0" w14:textId="77777777" w:rsidR="00173959" w:rsidRDefault="0017395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81BA" w14:textId="77777777" w:rsidR="00173959" w:rsidRDefault="00173959" w:rsidP="00BF7674">
      <w:r>
        <w:separator/>
      </w:r>
    </w:p>
  </w:footnote>
  <w:footnote w:type="continuationSeparator" w:id="0">
    <w:p w14:paraId="35A511F8" w14:textId="77777777" w:rsidR="00173959" w:rsidRDefault="0017395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0"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39"/>
  </w:num>
  <w:num w:numId="2" w16cid:durableId="573013156">
    <w:abstractNumId w:val="34"/>
  </w:num>
  <w:num w:numId="3" w16cid:durableId="1779830718">
    <w:abstractNumId w:val="9"/>
  </w:num>
  <w:num w:numId="4" w16cid:durableId="725178237">
    <w:abstractNumId w:val="28"/>
  </w:num>
  <w:num w:numId="5" w16cid:durableId="220294192">
    <w:abstractNumId w:val="36"/>
  </w:num>
  <w:num w:numId="6" w16cid:durableId="930698965">
    <w:abstractNumId w:val="37"/>
  </w:num>
  <w:num w:numId="7" w16cid:durableId="1217887320">
    <w:abstractNumId w:val="40"/>
  </w:num>
  <w:num w:numId="8" w16cid:durableId="1581284903">
    <w:abstractNumId w:val="33"/>
  </w:num>
  <w:num w:numId="9" w16cid:durableId="2043164235">
    <w:abstractNumId w:val="31"/>
  </w:num>
  <w:num w:numId="10" w16cid:durableId="359477797">
    <w:abstractNumId w:val="16"/>
  </w:num>
  <w:num w:numId="11" w16cid:durableId="2118863191">
    <w:abstractNumId w:val="32"/>
  </w:num>
  <w:num w:numId="12" w16cid:durableId="1105073630">
    <w:abstractNumId w:val="10"/>
  </w:num>
  <w:num w:numId="13" w16cid:durableId="501816211">
    <w:abstractNumId w:val="4"/>
  </w:num>
  <w:num w:numId="14" w16cid:durableId="2087798823">
    <w:abstractNumId w:val="19"/>
  </w:num>
  <w:num w:numId="15" w16cid:durableId="1222252971">
    <w:abstractNumId w:val="7"/>
  </w:num>
  <w:num w:numId="16" w16cid:durableId="1880429248">
    <w:abstractNumId w:val="27"/>
  </w:num>
  <w:num w:numId="17" w16cid:durableId="2064789847">
    <w:abstractNumId w:val="1"/>
  </w:num>
  <w:num w:numId="18" w16cid:durableId="1674608018">
    <w:abstractNumId w:val="22"/>
  </w:num>
  <w:num w:numId="19" w16cid:durableId="1719551836">
    <w:abstractNumId w:val="25"/>
  </w:num>
  <w:num w:numId="20" w16cid:durableId="1244490335">
    <w:abstractNumId w:val="2"/>
  </w:num>
  <w:num w:numId="21" w16cid:durableId="177737794">
    <w:abstractNumId w:val="14"/>
  </w:num>
  <w:num w:numId="22" w16cid:durableId="917902633">
    <w:abstractNumId w:val="6"/>
  </w:num>
  <w:num w:numId="23" w16cid:durableId="373698778">
    <w:abstractNumId w:val="11"/>
  </w:num>
  <w:num w:numId="24" w16cid:durableId="1589269503">
    <w:abstractNumId w:val="8"/>
  </w:num>
  <w:num w:numId="25" w16cid:durableId="429205834">
    <w:abstractNumId w:val="5"/>
  </w:num>
  <w:num w:numId="26" w16cid:durableId="762335405">
    <w:abstractNumId w:val="3"/>
  </w:num>
  <w:num w:numId="27" w16cid:durableId="1625384825">
    <w:abstractNumId w:val="21"/>
  </w:num>
  <w:num w:numId="28" w16cid:durableId="1697072466">
    <w:abstractNumId w:val="13"/>
  </w:num>
  <w:num w:numId="29" w16cid:durableId="630015363">
    <w:abstractNumId w:val="15"/>
  </w:num>
  <w:num w:numId="30" w16cid:durableId="1777211645">
    <w:abstractNumId w:val="18"/>
  </w:num>
  <w:num w:numId="31" w16cid:durableId="1223832647">
    <w:abstractNumId w:val="29"/>
  </w:num>
  <w:num w:numId="32" w16cid:durableId="1128670099">
    <w:abstractNumId w:val="35"/>
  </w:num>
  <w:num w:numId="33" w16cid:durableId="1417821402">
    <w:abstractNumId w:val="12"/>
  </w:num>
  <w:num w:numId="34" w16cid:durableId="1393113635">
    <w:abstractNumId w:val="30"/>
  </w:num>
  <w:num w:numId="35" w16cid:durableId="919750748">
    <w:abstractNumId w:val="20"/>
  </w:num>
  <w:num w:numId="36" w16cid:durableId="430861448">
    <w:abstractNumId w:val="38"/>
  </w:num>
  <w:num w:numId="37" w16cid:durableId="1799226588">
    <w:abstractNumId w:val="38"/>
  </w:num>
  <w:num w:numId="38" w16cid:durableId="1329752621">
    <w:abstractNumId w:val="26"/>
  </w:num>
  <w:num w:numId="39" w16cid:durableId="621425610">
    <w:abstractNumId w:val="23"/>
  </w:num>
  <w:num w:numId="40" w16cid:durableId="2028360859">
    <w:abstractNumId w:val="41"/>
  </w:num>
  <w:num w:numId="41" w16cid:durableId="1736853224">
    <w:abstractNumId w:val="24"/>
  </w:num>
  <w:num w:numId="42" w16cid:durableId="78332183">
    <w:abstractNumId w:val="17"/>
  </w:num>
  <w:num w:numId="43" w16cid:durableId="142383709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73959"/>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5659"/>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27EF"/>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2023-03-15T08:25:00Z</dcterms:created>
  <dcterms:modified xsi:type="dcterms:W3CDTF">2023-03-15T08:25:00Z</dcterms:modified>
</cp:coreProperties>
</file>