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810E" w14:textId="77777777" w:rsidR="00DA4EA0" w:rsidRPr="000064F9" w:rsidRDefault="00DA4EA0" w:rsidP="00DA4EA0">
      <w:pPr>
        <w:pStyle w:val="Textkrper"/>
        <w:jc w:val="center"/>
        <w:rPr>
          <w:b/>
          <w:bCs/>
          <w:i/>
          <w:iCs/>
          <w:sz w:val="22"/>
          <w:szCs w:val="22"/>
        </w:rPr>
      </w:pPr>
      <w:r w:rsidRPr="000064F9">
        <w:rPr>
          <w:b/>
          <w:bCs/>
          <w:i/>
          <w:iCs/>
          <w:sz w:val="22"/>
          <w:szCs w:val="22"/>
        </w:rPr>
        <w:t>Dienstvereinbarung</w:t>
      </w:r>
    </w:p>
    <w:p w14:paraId="3D31A152" w14:textId="77777777" w:rsidR="00DA4EA0" w:rsidRPr="000064F9" w:rsidRDefault="00DA4EA0" w:rsidP="00DA4EA0">
      <w:pPr>
        <w:pStyle w:val="StandardWeb"/>
        <w:jc w:val="both"/>
        <w:rPr>
          <w:i/>
          <w:iCs/>
          <w:sz w:val="22"/>
          <w:szCs w:val="22"/>
        </w:rPr>
      </w:pPr>
      <w:r w:rsidRPr="000064F9">
        <w:rPr>
          <w:i/>
          <w:iCs/>
          <w:sz w:val="22"/>
          <w:szCs w:val="22"/>
        </w:rPr>
        <w:t>über Auswahlrichtlinien</w:t>
      </w:r>
    </w:p>
    <w:p w14:paraId="34069936" w14:textId="77777777" w:rsidR="00DA4EA0" w:rsidRPr="000064F9" w:rsidRDefault="00DA4EA0" w:rsidP="00DA4EA0">
      <w:pPr>
        <w:autoSpaceDE w:val="0"/>
        <w:autoSpaceDN w:val="0"/>
        <w:adjustRightInd w:val="0"/>
        <w:spacing w:before="240"/>
        <w:jc w:val="center"/>
        <w:rPr>
          <w:i/>
          <w:iCs/>
          <w:sz w:val="22"/>
          <w:szCs w:val="22"/>
        </w:rPr>
      </w:pPr>
      <w:r w:rsidRPr="000064F9">
        <w:rPr>
          <w:i/>
          <w:iCs/>
          <w:sz w:val="22"/>
          <w:szCs w:val="22"/>
        </w:rPr>
        <w:t>zwischen</w:t>
      </w:r>
    </w:p>
    <w:p w14:paraId="7C308A6D" w14:textId="77777777" w:rsidR="00DA4EA0" w:rsidRPr="000064F9" w:rsidRDefault="00DA4EA0" w:rsidP="00DA4EA0">
      <w:pPr>
        <w:autoSpaceDE w:val="0"/>
        <w:autoSpaceDN w:val="0"/>
        <w:adjustRightInd w:val="0"/>
        <w:spacing w:before="120"/>
        <w:jc w:val="center"/>
        <w:rPr>
          <w:i/>
          <w:iCs/>
          <w:sz w:val="22"/>
          <w:szCs w:val="22"/>
        </w:rPr>
      </w:pPr>
      <w:r w:rsidRPr="000064F9">
        <w:rPr>
          <w:i/>
          <w:iCs/>
          <w:sz w:val="22"/>
          <w:szCs w:val="22"/>
        </w:rPr>
        <w:t>der Dienststelle ...,</w:t>
      </w:r>
    </w:p>
    <w:p w14:paraId="6D3B6152" w14:textId="77777777" w:rsidR="00DA4EA0" w:rsidRPr="000064F9" w:rsidRDefault="00DA4EA0" w:rsidP="00DA4EA0">
      <w:pPr>
        <w:autoSpaceDE w:val="0"/>
        <w:autoSpaceDN w:val="0"/>
        <w:adjustRightInd w:val="0"/>
        <w:jc w:val="center"/>
        <w:rPr>
          <w:i/>
          <w:iCs/>
          <w:sz w:val="22"/>
          <w:szCs w:val="22"/>
        </w:rPr>
      </w:pPr>
      <w:r w:rsidRPr="000064F9">
        <w:rPr>
          <w:i/>
          <w:iCs/>
          <w:sz w:val="22"/>
          <w:szCs w:val="22"/>
        </w:rPr>
        <w:t>vertreten durch den Dienststellenleiter</w:t>
      </w:r>
    </w:p>
    <w:p w14:paraId="1A116C05" w14:textId="77777777" w:rsidR="00DA4EA0" w:rsidRPr="000064F9" w:rsidRDefault="00DA4EA0" w:rsidP="00DA4EA0">
      <w:pPr>
        <w:autoSpaceDE w:val="0"/>
        <w:autoSpaceDN w:val="0"/>
        <w:adjustRightInd w:val="0"/>
        <w:jc w:val="center"/>
        <w:rPr>
          <w:i/>
          <w:iCs/>
          <w:sz w:val="22"/>
          <w:szCs w:val="22"/>
        </w:rPr>
      </w:pPr>
      <w:r w:rsidRPr="000064F9">
        <w:rPr>
          <w:i/>
          <w:iCs/>
          <w:sz w:val="22"/>
          <w:szCs w:val="22"/>
        </w:rPr>
        <w:t>Herrn/Frau ...</w:t>
      </w:r>
    </w:p>
    <w:p w14:paraId="2969BE94" w14:textId="77777777" w:rsidR="00DA4EA0" w:rsidRPr="000064F9" w:rsidRDefault="00DA4EA0" w:rsidP="00DA4EA0">
      <w:pPr>
        <w:autoSpaceDE w:val="0"/>
        <w:autoSpaceDN w:val="0"/>
        <w:adjustRightInd w:val="0"/>
        <w:spacing w:before="120"/>
        <w:jc w:val="center"/>
        <w:rPr>
          <w:i/>
          <w:iCs/>
          <w:sz w:val="22"/>
          <w:szCs w:val="22"/>
        </w:rPr>
      </w:pPr>
      <w:r w:rsidRPr="000064F9">
        <w:rPr>
          <w:i/>
          <w:iCs/>
          <w:sz w:val="22"/>
          <w:szCs w:val="22"/>
        </w:rPr>
        <w:t>und dem Personalrat</w:t>
      </w:r>
    </w:p>
    <w:p w14:paraId="58C10789" w14:textId="77777777" w:rsidR="00DA4EA0" w:rsidRPr="000064F9" w:rsidRDefault="00DA4EA0" w:rsidP="00DA4EA0">
      <w:pPr>
        <w:autoSpaceDE w:val="0"/>
        <w:autoSpaceDN w:val="0"/>
        <w:adjustRightInd w:val="0"/>
        <w:jc w:val="center"/>
        <w:rPr>
          <w:i/>
          <w:iCs/>
          <w:sz w:val="22"/>
          <w:szCs w:val="22"/>
        </w:rPr>
      </w:pPr>
      <w:r w:rsidRPr="000064F9">
        <w:rPr>
          <w:i/>
          <w:iCs/>
          <w:sz w:val="22"/>
          <w:szCs w:val="22"/>
        </w:rPr>
        <w:t>der Dienststelle ...,</w:t>
      </w:r>
    </w:p>
    <w:p w14:paraId="004AEF76" w14:textId="77777777" w:rsidR="00DA4EA0" w:rsidRPr="000064F9" w:rsidRDefault="00DA4EA0" w:rsidP="00DA4EA0">
      <w:pPr>
        <w:autoSpaceDE w:val="0"/>
        <w:autoSpaceDN w:val="0"/>
        <w:adjustRightInd w:val="0"/>
        <w:jc w:val="center"/>
        <w:rPr>
          <w:i/>
          <w:iCs/>
          <w:sz w:val="22"/>
          <w:szCs w:val="22"/>
        </w:rPr>
      </w:pPr>
      <w:r w:rsidRPr="000064F9">
        <w:rPr>
          <w:i/>
          <w:iCs/>
          <w:sz w:val="22"/>
          <w:szCs w:val="22"/>
        </w:rPr>
        <w:t>vertreten durch deren/dessen Vorsitzende(n)</w:t>
      </w:r>
    </w:p>
    <w:p w14:paraId="55D1296E" w14:textId="77777777" w:rsidR="00DA4EA0" w:rsidRPr="000064F9" w:rsidRDefault="00DA4EA0" w:rsidP="00DA4EA0">
      <w:pPr>
        <w:autoSpaceDE w:val="0"/>
        <w:autoSpaceDN w:val="0"/>
        <w:adjustRightInd w:val="0"/>
        <w:jc w:val="center"/>
        <w:rPr>
          <w:i/>
          <w:iCs/>
          <w:sz w:val="22"/>
          <w:szCs w:val="22"/>
        </w:rPr>
      </w:pPr>
      <w:r w:rsidRPr="000064F9">
        <w:rPr>
          <w:i/>
          <w:iCs/>
          <w:sz w:val="22"/>
          <w:szCs w:val="22"/>
        </w:rPr>
        <w:t>Herrn/Frau ...</w:t>
      </w:r>
    </w:p>
    <w:p w14:paraId="542F3734" w14:textId="77777777" w:rsidR="00DA4EA0" w:rsidRPr="000064F9" w:rsidRDefault="00DA4EA0" w:rsidP="00DA4EA0">
      <w:pPr>
        <w:autoSpaceDE w:val="0"/>
        <w:autoSpaceDN w:val="0"/>
        <w:adjustRightInd w:val="0"/>
        <w:rPr>
          <w:i/>
          <w:iCs/>
          <w:sz w:val="22"/>
          <w:szCs w:val="22"/>
        </w:rPr>
      </w:pPr>
    </w:p>
    <w:p w14:paraId="3265B0BD" w14:textId="77777777" w:rsidR="00DA4EA0" w:rsidRPr="000064F9" w:rsidRDefault="00DA4EA0" w:rsidP="00DA4EA0">
      <w:pPr>
        <w:jc w:val="both"/>
        <w:rPr>
          <w:b/>
          <w:i/>
          <w:iCs/>
          <w:sz w:val="22"/>
          <w:szCs w:val="22"/>
        </w:rPr>
      </w:pPr>
    </w:p>
    <w:p w14:paraId="023A1D41" w14:textId="77777777" w:rsidR="00DA4EA0" w:rsidRPr="000064F9" w:rsidRDefault="00DA4EA0" w:rsidP="00DA4EA0">
      <w:pPr>
        <w:pStyle w:val="jm1a"/>
        <w:widowControl w:val="0"/>
        <w:rPr>
          <w:sz w:val="22"/>
          <w:szCs w:val="22"/>
        </w:rPr>
      </w:pPr>
      <w:r w:rsidRPr="000064F9">
        <w:rPr>
          <w:rStyle w:val="jm40"/>
          <w:rFonts w:ascii="Times New Roman" w:hAnsi="Times New Roman"/>
          <w:i/>
          <w:iCs/>
          <w:sz w:val="22"/>
          <w:szCs w:val="22"/>
        </w:rPr>
        <w:t>Vorbemerkung</w:t>
      </w:r>
      <w:r w:rsidRPr="000064F9">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0A80EAE2" w14:textId="77777777" w:rsidR="00DA4EA0" w:rsidRPr="000064F9" w:rsidRDefault="00DA4EA0" w:rsidP="00DA4EA0">
      <w:pPr>
        <w:pStyle w:val="jm1a"/>
        <w:widowControl w:val="0"/>
        <w:rPr>
          <w:sz w:val="22"/>
          <w:szCs w:val="22"/>
          <w:highlight w:val="yellow"/>
        </w:rPr>
      </w:pPr>
    </w:p>
    <w:p w14:paraId="0EBF9049" w14:textId="77777777" w:rsidR="00DA4EA0" w:rsidRPr="000064F9" w:rsidRDefault="00DA4EA0" w:rsidP="00DA4EA0">
      <w:pPr>
        <w:spacing w:before="100" w:beforeAutospacing="1" w:after="100" w:afterAutospacing="1"/>
        <w:jc w:val="both"/>
        <w:outlineLvl w:val="1"/>
        <w:rPr>
          <w:b/>
          <w:bCs/>
          <w:color w:val="000000"/>
          <w:sz w:val="22"/>
          <w:szCs w:val="22"/>
        </w:rPr>
      </w:pPr>
      <w:r w:rsidRPr="000064F9">
        <w:rPr>
          <w:b/>
          <w:bCs/>
          <w:color w:val="000000"/>
          <w:sz w:val="22"/>
          <w:szCs w:val="22"/>
        </w:rPr>
        <w:t>§ 1 Entscheidungsvorbereitung / Beteiligung</w:t>
      </w:r>
    </w:p>
    <w:p w14:paraId="660F031F" w14:textId="77777777" w:rsidR="00DA4EA0" w:rsidRPr="000064F9" w:rsidRDefault="00DA4EA0" w:rsidP="00DA4EA0">
      <w:pPr>
        <w:spacing w:before="192" w:after="192"/>
        <w:jc w:val="both"/>
        <w:rPr>
          <w:color w:val="000000"/>
          <w:sz w:val="22"/>
          <w:szCs w:val="22"/>
        </w:rPr>
      </w:pPr>
      <w:r w:rsidRPr="000064F9">
        <w:rPr>
          <w:color w:val="000000"/>
          <w:sz w:val="22"/>
          <w:szCs w:val="22"/>
        </w:rPr>
        <w:t>Die Vorbereitung der dem Mitwirkungs- bzw. Mitbestimmungsrecht des Personalrats unterliegenden personellen Einzelmaßnahmen obliegt ausschließlich der Dienststellenleitung. Vor jeder Einstellung, Eingruppierung, Umgruppierung und Versetzung ist der Personalrat zu unterrichten. Unter Vorlage der erforderlichen Unterlagen ist ihm Auskunft über die betroffenen Personen sowie über die Auswirkungen der geplanten Maßnahmen zu geben.</w:t>
      </w:r>
    </w:p>
    <w:p w14:paraId="68F79935" w14:textId="77777777" w:rsidR="00DA4EA0" w:rsidRPr="000064F9" w:rsidRDefault="00DA4EA0" w:rsidP="00DA4EA0">
      <w:pPr>
        <w:spacing w:before="100" w:beforeAutospacing="1" w:after="100" w:afterAutospacing="1"/>
        <w:jc w:val="both"/>
        <w:outlineLvl w:val="1"/>
        <w:rPr>
          <w:b/>
          <w:bCs/>
          <w:color w:val="000000"/>
          <w:sz w:val="22"/>
          <w:szCs w:val="22"/>
        </w:rPr>
      </w:pPr>
      <w:r w:rsidRPr="000064F9">
        <w:rPr>
          <w:b/>
          <w:bCs/>
          <w:color w:val="000000"/>
          <w:sz w:val="22"/>
          <w:szCs w:val="22"/>
        </w:rPr>
        <w:t>§ 2 Adressat</w:t>
      </w:r>
    </w:p>
    <w:p w14:paraId="7DBD7FC9" w14:textId="77777777" w:rsidR="00DA4EA0" w:rsidRPr="000064F9" w:rsidRDefault="00DA4EA0" w:rsidP="00DA4EA0">
      <w:pPr>
        <w:spacing w:before="192" w:after="192"/>
        <w:jc w:val="both"/>
        <w:rPr>
          <w:color w:val="000000"/>
          <w:sz w:val="22"/>
          <w:szCs w:val="22"/>
        </w:rPr>
      </w:pPr>
      <w:r w:rsidRPr="000064F9">
        <w:rPr>
          <w:color w:val="000000"/>
          <w:sz w:val="22"/>
          <w:szCs w:val="22"/>
        </w:rPr>
        <w:t>Mitteilungen der Dienststellenleitung in Bezug auf beabsichtigte personelle Änderungen sind an den Vorsitzenden des Personalrats zu richten.</w:t>
      </w:r>
    </w:p>
    <w:p w14:paraId="69DC33AF" w14:textId="77777777" w:rsidR="00DA4EA0" w:rsidRPr="000064F9" w:rsidRDefault="00DA4EA0" w:rsidP="00DA4EA0">
      <w:pPr>
        <w:spacing w:before="100" w:beforeAutospacing="1" w:after="100" w:afterAutospacing="1"/>
        <w:jc w:val="both"/>
        <w:outlineLvl w:val="1"/>
        <w:rPr>
          <w:b/>
          <w:bCs/>
          <w:color w:val="000000"/>
          <w:sz w:val="22"/>
          <w:szCs w:val="22"/>
        </w:rPr>
      </w:pPr>
      <w:r w:rsidRPr="000064F9">
        <w:rPr>
          <w:b/>
          <w:bCs/>
          <w:color w:val="000000"/>
          <w:sz w:val="22"/>
          <w:szCs w:val="22"/>
        </w:rPr>
        <w:t>§ 3 Auswahlrichtlinien für die Einstellung</w:t>
      </w:r>
    </w:p>
    <w:p w14:paraId="3FB7AF8B" w14:textId="77777777" w:rsidR="00DA4EA0" w:rsidRPr="000064F9" w:rsidRDefault="00DA4EA0" w:rsidP="00DA4EA0">
      <w:pPr>
        <w:spacing w:before="192" w:after="192"/>
        <w:jc w:val="both"/>
        <w:rPr>
          <w:color w:val="000000"/>
          <w:sz w:val="22"/>
          <w:szCs w:val="22"/>
        </w:rPr>
      </w:pPr>
      <w:r w:rsidRPr="000064F9">
        <w:rPr>
          <w:color w:val="000000"/>
          <w:sz w:val="22"/>
          <w:szCs w:val="22"/>
        </w:rPr>
        <w:t>Alle neu eingerichteten oder zu besetzenden Stellen werden intern ausgeschrieben. Bei gleichzeitiger innerbetrieblicher und externer Stellenausschreibung haben Mitarbeiter der Dienststelle bei vergleichbarer fachlicher und persönlicher Qualifikation den Vorrang. Entscheidend für die Auswahl der Bewerber sind ausschließlich die aus den Bewerbungsunterlagen ersichtlichen Tatsachen.</w:t>
      </w:r>
    </w:p>
    <w:p w14:paraId="04D641B7" w14:textId="77777777" w:rsidR="00DA4EA0" w:rsidRPr="000064F9" w:rsidRDefault="00DA4EA0" w:rsidP="00DA4EA0">
      <w:pPr>
        <w:spacing w:before="192" w:after="192"/>
        <w:jc w:val="both"/>
        <w:rPr>
          <w:color w:val="000000"/>
          <w:sz w:val="22"/>
          <w:szCs w:val="22"/>
        </w:rPr>
      </w:pPr>
      <w:r w:rsidRPr="000064F9">
        <w:rPr>
          <w:color w:val="000000"/>
          <w:sz w:val="22"/>
          <w:szCs w:val="22"/>
        </w:rPr>
        <w:t>Auch diejenigen Bewerber, die nach Auffassung der Dienststellenleitung für die engere Auswahl nicht in Frage kommen, sind dem Personalrat auf Wunsch mitzuteilen.</w:t>
      </w:r>
    </w:p>
    <w:p w14:paraId="2AA3B145" w14:textId="77777777" w:rsidR="00DA4EA0" w:rsidRPr="000064F9" w:rsidRDefault="00DA4EA0" w:rsidP="00DA4EA0">
      <w:pPr>
        <w:spacing w:before="100" w:beforeAutospacing="1" w:after="100" w:afterAutospacing="1"/>
        <w:jc w:val="both"/>
        <w:outlineLvl w:val="1"/>
        <w:rPr>
          <w:b/>
          <w:bCs/>
          <w:color w:val="000000"/>
          <w:sz w:val="22"/>
          <w:szCs w:val="22"/>
        </w:rPr>
      </w:pPr>
      <w:r w:rsidRPr="000064F9">
        <w:rPr>
          <w:b/>
          <w:bCs/>
          <w:color w:val="000000"/>
          <w:sz w:val="22"/>
          <w:szCs w:val="22"/>
        </w:rPr>
        <w:t>§ 4 Auswahlrichtlinien bei Versetzung und Umgruppierung</w:t>
      </w:r>
    </w:p>
    <w:p w14:paraId="64D468D9" w14:textId="77777777" w:rsidR="00DA4EA0" w:rsidRPr="000064F9" w:rsidRDefault="00DA4EA0" w:rsidP="00DA4EA0">
      <w:pPr>
        <w:spacing w:before="192" w:after="192"/>
        <w:jc w:val="both"/>
        <w:rPr>
          <w:color w:val="000000"/>
          <w:sz w:val="22"/>
          <w:szCs w:val="22"/>
        </w:rPr>
      </w:pPr>
      <w:r w:rsidRPr="000064F9">
        <w:rPr>
          <w:color w:val="000000"/>
          <w:sz w:val="22"/>
          <w:szCs w:val="22"/>
        </w:rPr>
        <w:t>Soll ein Mitarbeiter aus personenbedingten Gründen, z. B. aus gesundheitlichen Erwägungen, auf einen anderen Arbeitsplatz versetzt werden, hat er gegenüber anderen Bewerbern Vorrang.</w:t>
      </w:r>
    </w:p>
    <w:p w14:paraId="43C7434B" w14:textId="77777777" w:rsidR="00DA4EA0" w:rsidRPr="000064F9" w:rsidRDefault="00DA4EA0" w:rsidP="00DA4EA0">
      <w:pPr>
        <w:spacing w:before="100" w:beforeAutospacing="1" w:after="100" w:afterAutospacing="1"/>
        <w:jc w:val="both"/>
        <w:outlineLvl w:val="1"/>
        <w:rPr>
          <w:b/>
          <w:bCs/>
          <w:color w:val="000000"/>
          <w:sz w:val="22"/>
          <w:szCs w:val="22"/>
        </w:rPr>
      </w:pPr>
      <w:r w:rsidRPr="000064F9">
        <w:rPr>
          <w:b/>
          <w:bCs/>
          <w:color w:val="000000"/>
          <w:sz w:val="22"/>
          <w:szCs w:val="22"/>
        </w:rPr>
        <w:t>§ 5 Versetzungen auf einen höherwertigen Arbeitsplatz</w:t>
      </w:r>
    </w:p>
    <w:p w14:paraId="4E6D74C1" w14:textId="77777777" w:rsidR="00DA4EA0" w:rsidRPr="000064F9" w:rsidRDefault="00DA4EA0" w:rsidP="00DA4EA0">
      <w:pPr>
        <w:spacing w:before="192" w:after="192"/>
        <w:jc w:val="both"/>
        <w:rPr>
          <w:color w:val="000000"/>
          <w:sz w:val="22"/>
          <w:szCs w:val="22"/>
        </w:rPr>
      </w:pPr>
      <w:r w:rsidRPr="000064F9">
        <w:rPr>
          <w:color w:val="000000"/>
          <w:sz w:val="22"/>
          <w:szCs w:val="22"/>
        </w:rPr>
        <w:lastRenderedPageBreak/>
        <w:t>Bei Versetzung auf einen höherwertigen Arbeitsplatz sowie einer Beförderung sind die gleichen Auswahlrichtlinien zu beachten wie bei einer Einstellung. Die fachliche Eignung und die Dienststellenzugehörigkeit sind gleichwertig zu beurteilen. Im Zweifel ist einer längeren Dienststellenzugehörigkeit der Vorrang einzuräumen.</w:t>
      </w:r>
    </w:p>
    <w:p w14:paraId="5824E827" w14:textId="77777777" w:rsidR="00DA4EA0" w:rsidRPr="000064F9" w:rsidRDefault="00DA4EA0" w:rsidP="00DA4EA0">
      <w:pPr>
        <w:spacing w:before="100" w:beforeAutospacing="1" w:after="100" w:afterAutospacing="1"/>
        <w:jc w:val="both"/>
        <w:outlineLvl w:val="1"/>
        <w:rPr>
          <w:b/>
          <w:bCs/>
          <w:color w:val="000000"/>
          <w:sz w:val="22"/>
          <w:szCs w:val="22"/>
        </w:rPr>
      </w:pPr>
      <w:r w:rsidRPr="000064F9">
        <w:rPr>
          <w:b/>
          <w:bCs/>
          <w:color w:val="000000"/>
          <w:sz w:val="22"/>
          <w:szCs w:val="22"/>
        </w:rPr>
        <w:t>§ 6 Umgruppierung</w:t>
      </w:r>
    </w:p>
    <w:p w14:paraId="1AEB0A6B" w14:textId="77777777" w:rsidR="00DA4EA0" w:rsidRPr="000064F9" w:rsidRDefault="00DA4EA0" w:rsidP="00DA4EA0">
      <w:pPr>
        <w:spacing w:before="192" w:after="192"/>
        <w:jc w:val="both"/>
        <w:rPr>
          <w:color w:val="000000"/>
          <w:sz w:val="22"/>
          <w:szCs w:val="22"/>
        </w:rPr>
      </w:pPr>
      <w:r w:rsidRPr="000064F9">
        <w:rPr>
          <w:color w:val="000000"/>
          <w:sz w:val="22"/>
          <w:szCs w:val="22"/>
        </w:rPr>
        <w:t>Bei bedingten Versetzungen, Beförderungen, Umgruppierungen oder der Übertragung zusätzlicher Aufgaben sind die gleichen Grundsätze wie bei einer Versetzung zu beachten. Entsprechende Regelungen geltender Tarifverträge gehen vor.</w:t>
      </w:r>
    </w:p>
    <w:p w14:paraId="45FB7413" w14:textId="77777777" w:rsidR="00DA4EA0" w:rsidRPr="000064F9" w:rsidRDefault="00DA4EA0" w:rsidP="00DA4EA0">
      <w:pPr>
        <w:spacing w:before="100" w:beforeAutospacing="1" w:after="100" w:afterAutospacing="1"/>
        <w:jc w:val="both"/>
        <w:outlineLvl w:val="1"/>
        <w:rPr>
          <w:b/>
          <w:bCs/>
          <w:color w:val="000000"/>
          <w:sz w:val="22"/>
          <w:szCs w:val="22"/>
        </w:rPr>
      </w:pPr>
      <w:r w:rsidRPr="000064F9">
        <w:rPr>
          <w:b/>
          <w:bCs/>
          <w:color w:val="000000"/>
          <w:sz w:val="22"/>
          <w:szCs w:val="22"/>
        </w:rPr>
        <w:t>§ 10 Zustimmung des Personalrats</w:t>
      </w:r>
    </w:p>
    <w:p w14:paraId="5AA0E880" w14:textId="77777777" w:rsidR="00DA4EA0" w:rsidRPr="000064F9" w:rsidRDefault="00DA4EA0" w:rsidP="00DA4EA0">
      <w:pPr>
        <w:jc w:val="both"/>
        <w:rPr>
          <w:sz w:val="22"/>
          <w:szCs w:val="22"/>
        </w:rPr>
      </w:pPr>
      <w:r w:rsidRPr="000064F9">
        <w:rPr>
          <w:sz w:val="22"/>
          <w:szCs w:val="22"/>
        </w:rPr>
        <w:t xml:space="preserve">Der Personalrat kann seine Zustimmung verweigern, wenn die Einstellung gegen </w:t>
      </w:r>
    </w:p>
    <w:p w14:paraId="6A044A0B" w14:textId="77777777" w:rsidR="00DA4EA0" w:rsidRPr="000064F9" w:rsidRDefault="00DA4EA0" w:rsidP="00DA4EA0">
      <w:pPr>
        <w:pStyle w:val="Listenabsatz"/>
        <w:numPr>
          <w:ilvl w:val="0"/>
          <w:numId w:val="22"/>
        </w:numPr>
        <w:jc w:val="both"/>
        <w:rPr>
          <w:sz w:val="22"/>
          <w:szCs w:val="22"/>
        </w:rPr>
      </w:pPr>
      <w:r w:rsidRPr="000064F9">
        <w:rPr>
          <w:sz w:val="22"/>
          <w:szCs w:val="22"/>
        </w:rPr>
        <w:t>ein Gesetz,</w:t>
      </w:r>
    </w:p>
    <w:p w14:paraId="41997624" w14:textId="77777777" w:rsidR="00DA4EA0" w:rsidRPr="000064F9" w:rsidRDefault="00DA4EA0" w:rsidP="00DA4EA0">
      <w:pPr>
        <w:pStyle w:val="Listenabsatz"/>
        <w:numPr>
          <w:ilvl w:val="0"/>
          <w:numId w:val="19"/>
        </w:numPr>
        <w:jc w:val="both"/>
        <w:rPr>
          <w:sz w:val="22"/>
          <w:szCs w:val="22"/>
        </w:rPr>
      </w:pPr>
      <w:r w:rsidRPr="000064F9">
        <w:rPr>
          <w:sz w:val="22"/>
          <w:szCs w:val="22"/>
        </w:rPr>
        <w:t>eine Verordnung,</w:t>
      </w:r>
    </w:p>
    <w:p w14:paraId="37561D5E" w14:textId="77777777" w:rsidR="00DA4EA0" w:rsidRPr="000064F9" w:rsidRDefault="00DA4EA0" w:rsidP="00DA4EA0">
      <w:pPr>
        <w:pStyle w:val="Listenabsatz"/>
        <w:numPr>
          <w:ilvl w:val="0"/>
          <w:numId w:val="19"/>
        </w:numPr>
        <w:jc w:val="both"/>
        <w:rPr>
          <w:sz w:val="22"/>
          <w:szCs w:val="22"/>
        </w:rPr>
      </w:pPr>
      <w:r w:rsidRPr="000064F9">
        <w:rPr>
          <w:sz w:val="22"/>
          <w:szCs w:val="22"/>
        </w:rPr>
        <w:t>eine tarifvertragliche Regel,</w:t>
      </w:r>
    </w:p>
    <w:p w14:paraId="7DB17443" w14:textId="77777777" w:rsidR="00DA4EA0" w:rsidRPr="000064F9" w:rsidRDefault="00DA4EA0" w:rsidP="00DA4EA0">
      <w:pPr>
        <w:pStyle w:val="Listenabsatz"/>
        <w:numPr>
          <w:ilvl w:val="0"/>
          <w:numId w:val="19"/>
        </w:numPr>
        <w:jc w:val="both"/>
        <w:rPr>
          <w:sz w:val="22"/>
          <w:szCs w:val="22"/>
        </w:rPr>
      </w:pPr>
      <w:r w:rsidRPr="000064F9">
        <w:rPr>
          <w:sz w:val="22"/>
          <w:szCs w:val="22"/>
        </w:rPr>
        <w:t>eine gerichtliche Entscheidung oder gegen</w:t>
      </w:r>
    </w:p>
    <w:p w14:paraId="1BC63BBB" w14:textId="77777777" w:rsidR="00DA4EA0" w:rsidRPr="000064F9" w:rsidRDefault="00DA4EA0" w:rsidP="00DA4EA0">
      <w:pPr>
        <w:pStyle w:val="Listenabsatz"/>
        <w:numPr>
          <w:ilvl w:val="0"/>
          <w:numId w:val="19"/>
        </w:numPr>
        <w:jc w:val="both"/>
        <w:rPr>
          <w:sz w:val="22"/>
          <w:szCs w:val="22"/>
        </w:rPr>
      </w:pPr>
      <w:r w:rsidRPr="000064F9">
        <w:rPr>
          <w:sz w:val="22"/>
          <w:szCs w:val="22"/>
        </w:rPr>
        <w:t>eine Auswahlrichtlinie zur Einstellung</w:t>
      </w:r>
    </w:p>
    <w:p w14:paraId="1EEE457C" w14:textId="77777777" w:rsidR="00DA4EA0" w:rsidRPr="000064F9" w:rsidRDefault="00DA4EA0" w:rsidP="00DA4EA0">
      <w:pPr>
        <w:jc w:val="both"/>
        <w:rPr>
          <w:sz w:val="22"/>
          <w:szCs w:val="22"/>
        </w:rPr>
      </w:pPr>
      <w:r w:rsidRPr="000064F9">
        <w:rPr>
          <w:sz w:val="22"/>
          <w:szCs w:val="22"/>
        </w:rPr>
        <w:t xml:space="preserve">verstößt. </w:t>
      </w:r>
    </w:p>
    <w:p w14:paraId="35EC63A4" w14:textId="77777777" w:rsidR="00DA4EA0" w:rsidRPr="000064F9" w:rsidRDefault="00DA4EA0" w:rsidP="00DA4EA0">
      <w:pPr>
        <w:jc w:val="both"/>
        <w:rPr>
          <w:sz w:val="22"/>
          <w:szCs w:val="22"/>
        </w:rPr>
      </w:pPr>
    </w:p>
    <w:p w14:paraId="48B749E4" w14:textId="77777777" w:rsidR="00DA4EA0" w:rsidRPr="000064F9" w:rsidRDefault="00DA4EA0" w:rsidP="00DA4EA0">
      <w:pPr>
        <w:jc w:val="both"/>
        <w:rPr>
          <w:sz w:val="22"/>
          <w:szCs w:val="22"/>
        </w:rPr>
      </w:pPr>
      <w:r w:rsidRPr="000064F9">
        <w:rPr>
          <w:sz w:val="22"/>
          <w:szCs w:val="22"/>
        </w:rPr>
        <w:t>Die Zustimmung kann außerdem verweigert w</w:t>
      </w:r>
      <w:r>
        <w:rPr>
          <w:sz w:val="22"/>
          <w:szCs w:val="22"/>
        </w:rPr>
        <w:t>e</w:t>
      </w:r>
      <w:r w:rsidRPr="000064F9">
        <w:rPr>
          <w:sz w:val="22"/>
          <w:szCs w:val="22"/>
        </w:rPr>
        <w:t xml:space="preserve">rden, wenn die durch Tatsachen begründete Besorgnis besteht, dass durch die Maßnahme </w:t>
      </w:r>
      <w:proofErr w:type="gramStart"/>
      <w:r w:rsidRPr="000064F9">
        <w:rPr>
          <w:sz w:val="22"/>
          <w:szCs w:val="22"/>
        </w:rPr>
        <w:t>die betroffene Kolleginnen</w:t>
      </w:r>
      <w:proofErr w:type="gramEnd"/>
      <w:r w:rsidRPr="000064F9">
        <w:rPr>
          <w:sz w:val="22"/>
          <w:szCs w:val="22"/>
        </w:rPr>
        <w:t xml:space="preserve"> bzw. der betroffene Kollege oder andere Kolleginnen und Kollegen benachteiligt werden, ohne dass dies aus dienstlichen Gründen gerechtfertigt ist. </w:t>
      </w:r>
    </w:p>
    <w:p w14:paraId="3A9A9C53" w14:textId="77777777" w:rsidR="00DA4EA0" w:rsidRPr="000064F9" w:rsidRDefault="00DA4EA0" w:rsidP="00DA4EA0">
      <w:pPr>
        <w:jc w:val="both"/>
        <w:rPr>
          <w:sz w:val="22"/>
          <w:szCs w:val="22"/>
        </w:rPr>
      </w:pPr>
    </w:p>
    <w:p w14:paraId="586BF697" w14:textId="77777777" w:rsidR="00DA4EA0" w:rsidRPr="000064F9" w:rsidRDefault="00DA4EA0" w:rsidP="00DA4EA0">
      <w:pPr>
        <w:jc w:val="both"/>
        <w:rPr>
          <w:sz w:val="22"/>
          <w:szCs w:val="22"/>
        </w:rPr>
      </w:pPr>
      <w:r w:rsidRPr="000064F9">
        <w:rPr>
          <w:sz w:val="22"/>
          <w:szCs w:val="22"/>
        </w:rPr>
        <w:t xml:space="preserve">Schließlich kann der Personalrat seine Zustimmung verweigern, wenn der Personalrat tatsächliche Sorgen hat, dass die Bewerberin oder der Bewerber den Frieden der Dienststelle durch </w:t>
      </w:r>
    </w:p>
    <w:p w14:paraId="40DFE1E9" w14:textId="77777777" w:rsidR="00DA4EA0" w:rsidRPr="000064F9" w:rsidRDefault="00DA4EA0" w:rsidP="00DA4EA0">
      <w:pPr>
        <w:pStyle w:val="Listenabsatz"/>
        <w:numPr>
          <w:ilvl w:val="0"/>
          <w:numId w:val="20"/>
        </w:numPr>
        <w:jc w:val="both"/>
        <w:rPr>
          <w:sz w:val="22"/>
          <w:szCs w:val="22"/>
        </w:rPr>
      </w:pPr>
      <w:r w:rsidRPr="000064F9">
        <w:rPr>
          <w:sz w:val="22"/>
          <w:szCs w:val="22"/>
        </w:rPr>
        <w:t>unsoziales oder</w:t>
      </w:r>
    </w:p>
    <w:p w14:paraId="67EA866D" w14:textId="77777777" w:rsidR="00DA4EA0" w:rsidRPr="000064F9" w:rsidRDefault="00DA4EA0" w:rsidP="00DA4EA0">
      <w:pPr>
        <w:pStyle w:val="Listenabsatz"/>
        <w:numPr>
          <w:ilvl w:val="0"/>
          <w:numId w:val="20"/>
        </w:numPr>
        <w:jc w:val="both"/>
        <w:rPr>
          <w:sz w:val="22"/>
          <w:szCs w:val="22"/>
        </w:rPr>
      </w:pPr>
      <w:r w:rsidRPr="000064F9">
        <w:rPr>
          <w:sz w:val="22"/>
          <w:szCs w:val="22"/>
        </w:rPr>
        <w:t>gesetzwidriges Verhalten</w:t>
      </w:r>
    </w:p>
    <w:p w14:paraId="2B33FB2F" w14:textId="77777777" w:rsidR="00DA4EA0" w:rsidRPr="000064F9" w:rsidRDefault="00DA4EA0" w:rsidP="00DA4EA0">
      <w:pPr>
        <w:jc w:val="both"/>
        <w:rPr>
          <w:sz w:val="22"/>
          <w:szCs w:val="22"/>
        </w:rPr>
      </w:pPr>
      <w:r w:rsidRPr="000064F9">
        <w:rPr>
          <w:sz w:val="22"/>
          <w:szCs w:val="22"/>
        </w:rPr>
        <w:t>stören wird.</w:t>
      </w:r>
    </w:p>
    <w:p w14:paraId="04381005" w14:textId="77777777" w:rsidR="00DA4EA0" w:rsidRPr="000064F9" w:rsidRDefault="00DA4EA0" w:rsidP="00DA4EA0">
      <w:pPr>
        <w:jc w:val="both"/>
      </w:pPr>
    </w:p>
    <w:p w14:paraId="75CB5067" w14:textId="77777777" w:rsidR="00DA4EA0" w:rsidRPr="000064F9" w:rsidRDefault="00DA4EA0" w:rsidP="00DA4EA0">
      <w:pPr>
        <w:jc w:val="both"/>
        <w:rPr>
          <w:sz w:val="22"/>
          <w:szCs w:val="22"/>
        </w:rPr>
      </w:pPr>
      <w:r w:rsidRPr="000064F9">
        <w:rPr>
          <w:sz w:val="22"/>
          <w:szCs w:val="22"/>
        </w:rPr>
        <w:t>Erteilt der Personalrat seine Zustimmung nicht, entscheidet die Einigungsstelle.</w:t>
      </w:r>
    </w:p>
    <w:p w14:paraId="13D86F4A" w14:textId="77777777" w:rsidR="00DA4EA0" w:rsidRPr="000064F9" w:rsidRDefault="00DA4EA0" w:rsidP="00DA4EA0">
      <w:pPr>
        <w:jc w:val="both"/>
      </w:pPr>
    </w:p>
    <w:p w14:paraId="713224B3" w14:textId="77777777" w:rsidR="00DA4EA0" w:rsidRPr="000064F9" w:rsidRDefault="00DA4EA0" w:rsidP="00DA4EA0">
      <w:pPr>
        <w:spacing w:before="100" w:beforeAutospacing="1" w:after="100" w:afterAutospacing="1"/>
        <w:jc w:val="both"/>
        <w:outlineLvl w:val="1"/>
        <w:rPr>
          <w:b/>
          <w:bCs/>
          <w:color w:val="000000"/>
          <w:sz w:val="22"/>
          <w:szCs w:val="22"/>
        </w:rPr>
      </w:pPr>
      <w:r w:rsidRPr="000064F9">
        <w:rPr>
          <w:b/>
          <w:bCs/>
          <w:color w:val="000000"/>
          <w:sz w:val="22"/>
          <w:szCs w:val="22"/>
        </w:rPr>
        <w:t>§ 11 Inkrafttreten / Kündigung</w:t>
      </w:r>
    </w:p>
    <w:p w14:paraId="2BB6D76C" w14:textId="77777777" w:rsidR="00DA4EA0" w:rsidRPr="000064F9" w:rsidRDefault="00DA4EA0" w:rsidP="00DA4EA0">
      <w:pPr>
        <w:spacing w:before="192" w:after="192"/>
        <w:jc w:val="both"/>
        <w:rPr>
          <w:color w:val="000000"/>
          <w:sz w:val="22"/>
          <w:szCs w:val="22"/>
        </w:rPr>
      </w:pPr>
      <w:r w:rsidRPr="000064F9">
        <w:rPr>
          <w:color w:val="000000"/>
          <w:sz w:val="22"/>
          <w:szCs w:val="22"/>
        </w:rPr>
        <w:t>Die Betriebsvereinbarung tritt mit Wirkung vom ... in Kraft. Sie kann unter Einhaltung einer Frist von ... Monaten zum Monatsende gekündigt werden.</w:t>
      </w:r>
    </w:p>
    <w:p w14:paraId="0F5D5812" w14:textId="49D4A345"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2B6490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9962C4">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F528" w14:textId="77777777" w:rsidR="00DB23A5" w:rsidRDefault="00DB23A5" w:rsidP="00BF7674">
      <w:r>
        <w:separator/>
      </w:r>
    </w:p>
  </w:endnote>
  <w:endnote w:type="continuationSeparator" w:id="0">
    <w:p w14:paraId="38501A05" w14:textId="77777777" w:rsidR="00DB23A5" w:rsidRDefault="00DB23A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5356" w14:textId="77777777" w:rsidR="00DB23A5" w:rsidRDefault="00DB23A5" w:rsidP="00BF7674">
      <w:r>
        <w:separator/>
      </w:r>
    </w:p>
  </w:footnote>
  <w:footnote w:type="continuationSeparator" w:id="0">
    <w:p w14:paraId="677E7753" w14:textId="77777777" w:rsidR="00DB23A5" w:rsidRDefault="00DB23A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1"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20"/>
  </w:num>
  <w:num w:numId="2" w16cid:durableId="573013156">
    <w:abstractNumId w:val="17"/>
  </w:num>
  <w:num w:numId="3" w16cid:durableId="1779830718">
    <w:abstractNumId w:val="5"/>
  </w:num>
  <w:num w:numId="4" w16cid:durableId="725178237">
    <w:abstractNumId w:val="13"/>
  </w:num>
  <w:num w:numId="5" w16cid:durableId="220294192">
    <w:abstractNumId w:val="18"/>
  </w:num>
  <w:num w:numId="6" w16cid:durableId="930698965">
    <w:abstractNumId w:val="19"/>
  </w:num>
  <w:num w:numId="7" w16cid:durableId="1217887320">
    <w:abstractNumId w:val="21"/>
  </w:num>
  <w:num w:numId="8" w16cid:durableId="1581284903">
    <w:abstractNumId w:val="16"/>
  </w:num>
  <w:num w:numId="9" w16cid:durableId="2043164235">
    <w:abstractNumId w:val="14"/>
  </w:num>
  <w:num w:numId="10" w16cid:durableId="359477797">
    <w:abstractNumId w:val="8"/>
  </w:num>
  <w:num w:numId="11" w16cid:durableId="2118863191">
    <w:abstractNumId w:val="15"/>
  </w:num>
  <w:num w:numId="12" w16cid:durableId="1105073630">
    <w:abstractNumId w:val="6"/>
  </w:num>
  <w:num w:numId="13" w16cid:durableId="501816211">
    <w:abstractNumId w:val="2"/>
  </w:num>
  <w:num w:numId="14" w16cid:durableId="2087798823">
    <w:abstractNumId w:val="9"/>
  </w:num>
  <w:num w:numId="15" w16cid:durableId="1222252971">
    <w:abstractNumId w:val="4"/>
  </w:num>
  <w:num w:numId="16" w16cid:durableId="1880429248">
    <w:abstractNumId w:val="12"/>
  </w:num>
  <w:num w:numId="17" w16cid:durableId="2064789847">
    <w:abstractNumId w:val="0"/>
  </w:num>
  <w:num w:numId="18" w16cid:durableId="1674608018">
    <w:abstractNumId w:val="10"/>
  </w:num>
  <w:num w:numId="19" w16cid:durableId="1719551836">
    <w:abstractNumId w:val="11"/>
  </w:num>
  <w:num w:numId="20" w16cid:durableId="1244490335">
    <w:abstractNumId w:val="1"/>
  </w:num>
  <w:num w:numId="21" w16cid:durableId="177737794">
    <w:abstractNumId w:val="7"/>
  </w:num>
  <w:num w:numId="22" w16cid:durableId="91790263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239C"/>
    <w:rsid w:val="00052E29"/>
    <w:rsid w:val="00062899"/>
    <w:rsid w:val="000672E5"/>
    <w:rsid w:val="00071465"/>
    <w:rsid w:val="00072D60"/>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6101D"/>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56C32"/>
    <w:rsid w:val="007608CB"/>
    <w:rsid w:val="0076139F"/>
    <w:rsid w:val="007824A3"/>
    <w:rsid w:val="007B6A58"/>
    <w:rsid w:val="007B6C2E"/>
    <w:rsid w:val="007D0B1B"/>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2022-10-31T07:59:00Z</dcterms:created>
  <dcterms:modified xsi:type="dcterms:W3CDTF">2022-10-31T07:59:00Z</dcterms:modified>
</cp:coreProperties>
</file>