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F4D5" w14:textId="77777777" w:rsidR="007B6A58" w:rsidRPr="007B6A58" w:rsidRDefault="007B6A58" w:rsidP="007B6A58">
      <w:pPr>
        <w:pStyle w:val="PNLSubhead"/>
        <w:outlineLvl w:val="0"/>
      </w:pPr>
      <w:r w:rsidRPr="007B6A58">
        <w:t>Schnell-Check: Das sind schwere Vertragsverletzungen, die eine Kündigung rechtfertigen</w:t>
      </w:r>
    </w:p>
    <w:tbl>
      <w:tblPr>
        <w:tblStyle w:val="Tabellenraster"/>
        <w:tblW w:w="0" w:type="auto"/>
        <w:tblLook w:val="04A0" w:firstRow="1" w:lastRow="0" w:firstColumn="1" w:lastColumn="0" w:noHBand="0" w:noVBand="1"/>
      </w:tblPr>
      <w:tblGrid>
        <w:gridCol w:w="7244"/>
        <w:gridCol w:w="835"/>
        <w:gridCol w:w="977"/>
      </w:tblGrid>
      <w:tr w:rsidR="007B6A58" w:rsidRPr="007B6A58" w14:paraId="3731B64E" w14:textId="77777777" w:rsidTr="001431DF">
        <w:tc>
          <w:tcPr>
            <w:tcW w:w="8725" w:type="dxa"/>
          </w:tcPr>
          <w:p w14:paraId="191145EE" w14:textId="77777777" w:rsidR="007B6A58" w:rsidRPr="007B6A58" w:rsidRDefault="007B6A58" w:rsidP="001431DF">
            <w:pPr>
              <w:autoSpaceDE w:val="0"/>
              <w:autoSpaceDN w:val="0"/>
              <w:adjustRightInd w:val="0"/>
              <w:rPr>
                <w:sz w:val="22"/>
                <w:szCs w:val="22"/>
              </w:rPr>
            </w:pPr>
            <w:r w:rsidRPr="007B6A58">
              <w:rPr>
                <w:sz w:val="22"/>
                <w:szCs w:val="22"/>
              </w:rPr>
              <w:t>Stellt sich in der Elternzeit heraus, dass die Kollegin oder der Kollege eine der folgenden Vertragsverletzungen begangen hat?</w:t>
            </w:r>
          </w:p>
        </w:tc>
        <w:tc>
          <w:tcPr>
            <w:tcW w:w="990" w:type="dxa"/>
          </w:tcPr>
          <w:p w14:paraId="46B477EE" w14:textId="77777777" w:rsidR="007B6A58" w:rsidRPr="007B6A58" w:rsidRDefault="007B6A58" w:rsidP="001431DF">
            <w:pPr>
              <w:autoSpaceDE w:val="0"/>
              <w:autoSpaceDN w:val="0"/>
              <w:adjustRightInd w:val="0"/>
              <w:rPr>
                <w:sz w:val="22"/>
                <w:szCs w:val="22"/>
              </w:rPr>
            </w:pPr>
            <w:r w:rsidRPr="007B6A58">
              <w:rPr>
                <w:sz w:val="22"/>
                <w:szCs w:val="22"/>
              </w:rPr>
              <w:t>Ja</w:t>
            </w:r>
          </w:p>
        </w:tc>
        <w:tc>
          <w:tcPr>
            <w:tcW w:w="1097" w:type="dxa"/>
          </w:tcPr>
          <w:p w14:paraId="1469BAD8" w14:textId="77777777" w:rsidR="007B6A58" w:rsidRPr="007B6A58" w:rsidRDefault="007B6A58" w:rsidP="001431DF">
            <w:pPr>
              <w:autoSpaceDE w:val="0"/>
              <w:autoSpaceDN w:val="0"/>
              <w:adjustRightInd w:val="0"/>
              <w:rPr>
                <w:sz w:val="22"/>
                <w:szCs w:val="22"/>
              </w:rPr>
            </w:pPr>
            <w:r w:rsidRPr="007B6A58">
              <w:rPr>
                <w:sz w:val="22"/>
                <w:szCs w:val="22"/>
              </w:rPr>
              <w:t>Nein</w:t>
            </w:r>
          </w:p>
        </w:tc>
      </w:tr>
      <w:tr w:rsidR="007B6A58" w:rsidRPr="007B6A58" w14:paraId="27FFA2AD" w14:textId="77777777" w:rsidTr="001431DF">
        <w:tc>
          <w:tcPr>
            <w:tcW w:w="8725" w:type="dxa"/>
          </w:tcPr>
          <w:p w14:paraId="092B8CE8" w14:textId="77777777" w:rsidR="007B6A58" w:rsidRPr="007B6A58" w:rsidRDefault="007B6A58" w:rsidP="007B6A58">
            <w:pPr>
              <w:pStyle w:val="Listenabsatz"/>
              <w:numPr>
                <w:ilvl w:val="0"/>
                <w:numId w:val="7"/>
              </w:numPr>
              <w:autoSpaceDE w:val="0"/>
              <w:autoSpaceDN w:val="0"/>
              <w:adjustRightInd w:val="0"/>
              <w:jc w:val="both"/>
              <w:rPr>
                <w:sz w:val="22"/>
                <w:szCs w:val="22"/>
              </w:rPr>
            </w:pPr>
            <w:r w:rsidRPr="007B6A58">
              <w:rPr>
                <w:sz w:val="22"/>
                <w:szCs w:val="22"/>
              </w:rPr>
              <w:t>Vortäuschen der Arbeitsunfähigkeit</w:t>
            </w:r>
          </w:p>
        </w:tc>
        <w:tc>
          <w:tcPr>
            <w:tcW w:w="990" w:type="dxa"/>
          </w:tcPr>
          <w:p w14:paraId="66C94718" w14:textId="77777777" w:rsidR="007B6A58" w:rsidRPr="007B6A58" w:rsidRDefault="007B6A58" w:rsidP="001431DF">
            <w:pPr>
              <w:autoSpaceDE w:val="0"/>
              <w:autoSpaceDN w:val="0"/>
              <w:adjustRightInd w:val="0"/>
              <w:rPr>
                <w:sz w:val="22"/>
                <w:szCs w:val="22"/>
              </w:rPr>
            </w:pPr>
          </w:p>
        </w:tc>
        <w:tc>
          <w:tcPr>
            <w:tcW w:w="1097" w:type="dxa"/>
          </w:tcPr>
          <w:p w14:paraId="52B94101" w14:textId="77777777" w:rsidR="007B6A58" w:rsidRPr="007B6A58" w:rsidRDefault="007B6A58" w:rsidP="001431DF">
            <w:pPr>
              <w:autoSpaceDE w:val="0"/>
              <w:autoSpaceDN w:val="0"/>
              <w:adjustRightInd w:val="0"/>
              <w:rPr>
                <w:sz w:val="22"/>
                <w:szCs w:val="22"/>
              </w:rPr>
            </w:pPr>
          </w:p>
        </w:tc>
      </w:tr>
      <w:tr w:rsidR="007B6A58" w:rsidRPr="007B6A58" w14:paraId="24A0FC17" w14:textId="77777777" w:rsidTr="001431DF">
        <w:tc>
          <w:tcPr>
            <w:tcW w:w="8725" w:type="dxa"/>
          </w:tcPr>
          <w:p w14:paraId="15107C20" w14:textId="77777777" w:rsidR="007B6A58" w:rsidRPr="007B6A58" w:rsidRDefault="007B6A58" w:rsidP="007B6A58">
            <w:pPr>
              <w:pStyle w:val="Listenabsatz"/>
              <w:numPr>
                <w:ilvl w:val="0"/>
                <w:numId w:val="7"/>
              </w:numPr>
              <w:autoSpaceDE w:val="0"/>
              <w:autoSpaceDN w:val="0"/>
              <w:adjustRightInd w:val="0"/>
              <w:jc w:val="both"/>
              <w:rPr>
                <w:sz w:val="22"/>
                <w:szCs w:val="22"/>
              </w:rPr>
            </w:pPr>
            <w:r w:rsidRPr="007B6A58">
              <w:rPr>
                <w:sz w:val="22"/>
                <w:szCs w:val="22"/>
              </w:rPr>
              <w:t>Verdacht einer Bestechung</w:t>
            </w:r>
          </w:p>
        </w:tc>
        <w:tc>
          <w:tcPr>
            <w:tcW w:w="990" w:type="dxa"/>
          </w:tcPr>
          <w:p w14:paraId="347690B9" w14:textId="77777777" w:rsidR="007B6A58" w:rsidRPr="007B6A58" w:rsidRDefault="007B6A58" w:rsidP="001431DF">
            <w:pPr>
              <w:autoSpaceDE w:val="0"/>
              <w:autoSpaceDN w:val="0"/>
              <w:adjustRightInd w:val="0"/>
              <w:rPr>
                <w:sz w:val="22"/>
                <w:szCs w:val="22"/>
              </w:rPr>
            </w:pPr>
          </w:p>
        </w:tc>
        <w:tc>
          <w:tcPr>
            <w:tcW w:w="1097" w:type="dxa"/>
          </w:tcPr>
          <w:p w14:paraId="439ACC6B" w14:textId="77777777" w:rsidR="007B6A58" w:rsidRPr="007B6A58" w:rsidRDefault="007B6A58" w:rsidP="001431DF">
            <w:pPr>
              <w:autoSpaceDE w:val="0"/>
              <w:autoSpaceDN w:val="0"/>
              <w:adjustRightInd w:val="0"/>
              <w:rPr>
                <w:sz w:val="22"/>
                <w:szCs w:val="22"/>
              </w:rPr>
            </w:pPr>
          </w:p>
        </w:tc>
      </w:tr>
      <w:tr w:rsidR="007B6A58" w:rsidRPr="007B6A58" w14:paraId="28020972" w14:textId="77777777" w:rsidTr="001431DF">
        <w:tc>
          <w:tcPr>
            <w:tcW w:w="8725" w:type="dxa"/>
          </w:tcPr>
          <w:p w14:paraId="4EF3C251" w14:textId="77777777" w:rsidR="007B6A58" w:rsidRPr="007B6A58" w:rsidRDefault="007B6A58" w:rsidP="007B6A58">
            <w:pPr>
              <w:pStyle w:val="Listenabsatz"/>
              <w:numPr>
                <w:ilvl w:val="0"/>
                <w:numId w:val="7"/>
              </w:numPr>
              <w:autoSpaceDE w:val="0"/>
              <w:autoSpaceDN w:val="0"/>
              <w:adjustRightInd w:val="0"/>
              <w:jc w:val="both"/>
              <w:rPr>
                <w:sz w:val="22"/>
                <w:szCs w:val="22"/>
              </w:rPr>
            </w:pPr>
            <w:r w:rsidRPr="007B6A58">
              <w:rPr>
                <w:sz w:val="22"/>
                <w:szCs w:val="22"/>
              </w:rPr>
              <w:t>Verrat eines Betriebs- oder Geschäftsgeheimnisses</w:t>
            </w:r>
          </w:p>
        </w:tc>
        <w:tc>
          <w:tcPr>
            <w:tcW w:w="990" w:type="dxa"/>
          </w:tcPr>
          <w:p w14:paraId="78726D99" w14:textId="77777777" w:rsidR="007B6A58" w:rsidRPr="007B6A58" w:rsidRDefault="007B6A58" w:rsidP="001431DF">
            <w:pPr>
              <w:autoSpaceDE w:val="0"/>
              <w:autoSpaceDN w:val="0"/>
              <w:adjustRightInd w:val="0"/>
              <w:rPr>
                <w:sz w:val="22"/>
                <w:szCs w:val="22"/>
              </w:rPr>
            </w:pPr>
          </w:p>
        </w:tc>
        <w:tc>
          <w:tcPr>
            <w:tcW w:w="1097" w:type="dxa"/>
          </w:tcPr>
          <w:p w14:paraId="58E36E0F" w14:textId="77777777" w:rsidR="007B6A58" w:rsidRPr="007B6A58" w:rsidRDefault="007B6A58" w:rsidP="001431DF">
            <w:pPr>
              <w:autoSpaceDE w:val="0"/>
              <w:autoSpaceDN w:val="0"/>
              <w:adjustRightInd w:val="0"/>
              <w:rPr>
                <w:sz w:val="22"/>
                <w:szCs w:val="22"/>
              </w:rPr>
            </w:pPr>
          </w:p>
        </w:tc>
      </w:tr>
      <w:tr w:rsidR="007B6A58" w:rsidRPr="007B6A58" w14:paraId="176AD134" w14:textId="77777777" w:rsidTr="001431DF">
        <w:tc>
          <w:tcPr>
            <w:tcW w:w="8725" w:type="dxa"/>
          </w:tcPr>
          <w:p w14:paraId="713125A4" w14:textId="50A6CEEB" w:rsidR="007B6A58" w:rsidRPr="007B6A58" w:rsidRDefault="007B6A58" w:rsidP="007B6A58">
            <w:pPr>
              <w:pStyle w:val="Listenabsatz"/>
              <w:numPr>
                <w:ilvl w:val="0"/>
                <w:numId w:val="7"/>
              </w:numPr>
              <w:autoSpaceDE w:val="0"/>
              <w:autoSpaceDN w:val="0"/>
              <w:adjustRightInd w:val="0"/>
              <w:jc w:val="both"/>
              <w:rPr>
                <w:sz w:val="22"/>
                <w:szCs w:val="22"/>
              </w:rPr>
            </w:pPr>
            <w:r w:rsidRPr="007B6A58">
              <w:rPr>
                <w:sz w:val="22"/>
                <w:szCs w:val="22"/>
              </w:rPr>
              <w:t>Einreichung einer falschen Spesenabrechnung zum Nachteil de</w:t>
            </w:r>
            <w:r>
              <w:rPr>
                <w:sz w:val="22"/>
                <w:szCs w:val="22"/>
              </w:rPr>
              <w:t>r Dienststelle</w:t>
            </w:r>
          </w:p>
        </w:tc>
        <w:tc>
          <w:tcPr>
            <w:tcW w:w="990" w:type="dxa"/>
          </w:tcPr>
          <w:p w14:paraId="057DEC82" w14:textId="77777777" w:rsidR="007B6A58" w:rsidRPr="007B6A58" w:rsidRDefault="007B6A58" w:rsidP="001431DF">
            <w:pPr>
              <w:autoSpaceDE w:val="0"/>
              <w:autoSpaceDN w:val="0"/>
              <w:adjustRightInd w:val="0"/>
              <w:rPr>
                <w:sz w:val="22"/>
                <w:szCs w:val="22"/>
              </w:rPr>
            </w:pPr>
          </w:p>
        </w:tc>
        <w:tc>
          <w:tcPr>
            <w:tcW w:w="1097" w:type="dxa"/>
          </w:tcPr>
          <w:p w14:paraId="4AE6E84E" w14:textId="77777777" w:rsidR="007B6A58" w:rsidRPr="007B6A58" w:rsidRDefault="007B6A58" w:rsidP="001431DF">
            <w:pPr>
              <w:autoSpaceDE w:val="0"/>
              <w:autoSpaceDN w:val="0"/>
              <w:adjustRightInd w:val="0"/>
              <w:rPr>
                <w:sz w:val="22"/>
                <w:szCs w:val="22"/>
              </w:rPr>
            </w:pPr>
          </w:p>
        </w:tc>
      </w:tr>
      <w:tr w:rsidR="007B6A58" w:rsidRPr="007B6A58" w14:paraId="770F10A3" w14:textId="77777777" w:rsidTr="001431DF">
        <w:tc>
          <w:tcPr>
            <w:tcW w:w="8725" w:type="dxa"/>
          </w:tcPr>
          <w:p w14:paraId="77E87BB3" w14:textId="3E1C9FA8" w:rsidR="007B6A58" w:rsidRPr="007B6A58" w:rsidRDefault="007B6A58" w:rsidP="007B6A58">
            <w:pPr>
              <w:pStyle w:val="Listenabsatz"/>
              <w:numPr>
                <w:ilvl w:val="0"/>
                <w:numId w:val="7"/>
              </w:numPr>
              <w:autoSpaceDE w:val="0"/>
              <w:autoSpaceDN w:val="0"/>
              <w:adjustRightInd w:val="0"/>
              <w:jc w:val="both"/>
              <w:rPr>
                <w:sz w:val="22"/>
                <w:szCs w:val="22"/>
              </w:rPr>
            </w:pPr>
            <w:r w:rsidRPr="007B6A58">
              <w:rPr>
                <w:sz w:val="22"/>
                <w:szCs w:val="22"/>
              </w:rPr>
              <w:t>Verdacht einer schwerwiegenden strafbaren Handlung zum Nachteil de</w:t>
            </w:r>
            <w:r>
              <w:rPr>
                <w:sz w:val="22"/>
                <w:szCs w:val="22"/>
              </w:rPr>
              <w:t xml:space="preserve">r Dienststelle </w:t>
            </w:r>
            <w:r w:rsidRPr="007B6A58">
              <w:rPr>
                <w:sz w:val="22"/>
                <w:szCs w:val="22"/>
              </w:rPr>
              <w:t>oder anderer Kolleginnen und Kollegen, wie zum Beispiel einem Diebstahl vor Beginn der Elternzeit?</w:t>
            </w:r>
          </w:p>
        </w:tc>
        <w:tc>
          <w:tcPr>
            <w:tcW w:w="990" w:type="dxa"/>
          </w:tcPr>
          <w:p w14:paraId="2CDE6AA1" w14:textId="77777777" w:rsidR="007B6A58" w:rsidRPr="007B6A58" w:rsidRDefault="007B6A58" w:rsidP="001431DF">
            <w:pPr>
              <w:autoSpaceDE w:val="0"/>
              <w:autoSpaceDN w:val="0"/>
              <w:adjustRightInd w:val="0"/>
              <w:rPr>
                <w:sz w:val="22"/>
                <w:szCs w:val="22"/>
              </w:rPr>
            </w:pPr>
          </w:p>
        </w:tc>
        <w:tc>
          <w:tcPr>
            <w:tcW w:w="1097" w:type="dxa"/>
          </w:tcPr>
          <w:p w14:paraId="6BAD6BD7" w14:textId="77777777" w:rsidR="007B6A58" w:rsidRPr="007B6A58" w:rsidRDefault="007B6A58" w:rsidP="001431DF">
            <w:pPr>
              <w:autoSpaceDE w:val="0"/>
              <w:autoSpaceDN w:val="0"/>
              <w:adjustRightInd w:val="0"/>
              <w:rPr>
                <w:sz w:val="22"/>
                <w:szCs w:val="22"/>
              </w:rPr>
            </w:pPr>
          </w:p>
        </w:tc>
      </w:tr>
    </w:tbl>
    <w:p w14:paraId="17FE2F09" w14:textId="77777777" w:rsidR="007B6A58" w:rsidRPr="007B6A58" w:rsidRDefault="007B6A58" w:rsidP="007B6A58">
      <w:pPr>
        <w:autoSpaceDE w:val="0"/>
        <w:autoSpaceDN w:val="0"/>
        <w:adjustRightInd w:val="0"/>
        <w:rPr>
          <w:sz w:val="40"/>
          <w:szCs w:val="40"/>
        </w:rPr>
      </w:pPr>
    </w:p>
    <w:p w14:paraId="0D5F1C74" w14:textId="77777777" w:rsidR="007B6A58" w:rsidRPr="007B6A58" w:rsidRDefault="007B6A58" w:rsidP="007B6A58">
      <w:pPr>
        <w:autoSpaceDE w:val="0"/>
        <w:autoSpaceDN w:val="0"/>
        <w:adjustRightInd w:val="0"/>
        <w:rPr>
          <w:sz w:val="22"/>
          <w:szCs w:val="22"/>
        </w:rPr>
      </w:pPr>
      <w:r w:rsidRPr="007B6A58">
        <w:rPr>
          <w:sz w:val="22"/>
          <w:szCs w:val="22"/>
        </w:rPr>
        <w:t>Ein „Ja“ kann bereits reichen, um die Kündigung einer Kollegin oder eines Kollegen in Elternzeit zu rechtfertigen.</w:t>
      </w:r>
    </w:p>
    <w:p w14:paraId="6CED167F" w14:textId="77777777" w:rsidR="00D12DC0" w:rsidRPr="00814D99" w:rsidRDefault="00D12DC0" w:rsidP="00D12DC0">
      <w:pPr>
        <w:pStyle w:val="StandardWeb"/>
        <w:spacing w:before="0" w:beforeAutospacing="0" w:after="0" w:afterAutospacing="0"/>
        <w:rPr>
          <w:rFonts w:ascii="Arial" w:hAnsi="Arial" w:cs="Arial"/>
          <w:color w:val="626262"/>
          <w:sz w:val="18"/>
          <w:szCs w:val="18"/>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1F0453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A1FEB">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FCDE" w14:textId="77777777" w:rsidR="00E964D4" w:rsidRDefault="00E964D4" w:rsidP="00BF7674">
      <w:r>
        <w:separator/>
      </w:r>
    </w:p>
  </w:endnote>
  <w:endnote w:type="continuationSeparator" w:id="0">
    <w:p w14:paraId="6F806F27" w14:textId="77777777" w:rsidR="00E964D4" w:rsidRDefault="00E964D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9625" w14:textId="77777777" w:rsidR="00E964D4" w:rsidRDefault="00E964D4" w:rsidP="00BF7674">
      <w:r>
        <w:separator/>
      </w:r>
    </w:p>
  </w:footnote>
  <w:footnote w:type="continuationSeparator" w:id="0">
    <w:p w14:paraId="3D3025A4" w14:textId="77777777" w:rsidR="00E964D4" w:rsidRDefault="00E964D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
  </w:num>
  <w:num w:numId="2" w16cid:durableId="573013156">
    <w:abstractNumId w:val="2"/>
  </w:num>
  <w:num w:numId="3" w16cid:durableId="1779830718">
    <w:abstractNumId w:val="0"/>
  </w:num>
  <w:num w:numId="4" w16cid:durableId="725178237">
    <w:abstractNumId w:val="1"/>
  </w:num>
  <w:num w:numId="5" w16cid:durableId="220294192">
    <w:abstractNumId w:val="3"/>
  </w:num>
  <w:num w:numId="6" w16cid:durableId="930698965">
    <w:abstractNumId w:val="4"/>
  </w:num>
  <w:num w:numId="7" w16cid:durableId="12178873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64D4"/>
    <w:rsid w:val="00E9774B"/>
    <w:rsid w:val="00E9777D"/>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2022-09-05T08:20:00Z</dcterms:created>
  <dcterms:modified xsi:type="dcterms:W3CDTF">2022-09-05T08:20:00Z</dcterms:modified>
</cp:coreProperties>
</file>