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05BE9" w14:textId="14BBDB6D" w:rsidR="00C029C9" w:rsidRDefault="00C029C9" w:rsidP="00C029C9">
      <w:pPr>
        <w:pStyle w:val="PNLSubhead"/>
        <w:outlineLvl w:val="0"/>
      </w:pPr>
      <w:r>
        <w:t>Schnell-Check</w:t>
      </w:r>
      <w:r w:rsidRPr="00155A75">
        <w:t xml:space="preserve">: </w:t>
      </w:r>
      <w:r>
        <w:t>Wann der Betrieb auf den neuen Eigentümer übergeht</w:t>
      </w:r>
    </w:p>
    <w:p w14:paraId="05DDA783" w14:textId="77777777" w:rsidR="00C029C9" w:rsidRPr="00C029C9" w:rsidRDefault="00C029C9" w:rsidP="00C029C9">
      <w:pPr>
        <w:rPr>
          <w:lang w:eastAsia="de-DE"/>
        </w:rPr>
      </w:pPr>
    </w:p>
    <w:tbl>
      <w:tblPr>
        <w:tblStyle w:val="Tabellenraster"/>
        <w:tblW w:w="0" w:type="auto"/>
        <w:tblLook w:val="04A0" w:firstRow="1" w:lastRow="0" w:firstColumn="1" w:lastColumn="0" w:noHBand="0" w:noVBand="1"/>
      </w:tblPr>
      <w:tblGrid>
        <w:gridCol w:w="7346"/>
        <w:gridCol w:w="840"/>
        <w:gridCol w:w="870"/>
      </w:tblGrid>
      <w:tr w:rsidR="00C029C9" w:rsidRPr="00155A75" w14:paraId="3CB7A416" w14:textId="77777777" w:rsidTr="00AD564C">
        <w:tc>
          <w:tcPr>
            <w:tcW w:w="7479" w:type="dxa"/>
          </w:tcPr>
          <w:p w14:paraId="05E2DBF4" w14:textId="77777777" w:rsidR="00C029C9" w:rsidRPr="00155A75" w:rsidRDefault="00C029C9" w:rsidP="00AD564C">
            <w:pPr>
              <w:jc w:val="both"/>
              <w:rPr>
                <w:sz w:val="22"/>
                <w:szCs w:val="22"/>
              </w:rPr>
            </w:pPr>
          </w:p>
        </w:tc>
        <w:tc>
          <w:tcPr>
            <w:tcW w:w="851" w:type="dxa"/>
          </w:tcPr>
          <w:p w14:paraId="6B1CDF1A" w14:textId="77777777" w:rsidR="00C029C9" w:rsidRPr="00155A75" w:rsidRDefault="00C029C9" w:rsidP="00AD564C">
            <w:pPr>
              <w:jc w:val="both"/>
              <w:rPr>
                <w:sz w:val="22"/>
                <w:szCs w:val="22"/>
              </w:rPr>
            </w:pPr>
            <w:r w:rsidRPr="00155A75">
              <w:rPr>
                <w:sz w:val="22"/>
                <w:szCs w:val="22"/>
              </w:rPr>
              <w:t>Ja</w:t>
            </w:r>
          </w:p>
        </w:tc>
        <w:tc>
          <w:tcPr>
            <w:tcW w:w="876" w:type="dxa"/>
          </w:tcPr>
          <w:p w14:paraId="4DA7E2E1" w14:textId="77777777" w:rsidR="00C029C9" w:rsidRPr="00155A75" w:rsidRDefault="00C029C9" w:rsidP="00AD564C">
            <w:pPr>
              <w:jc w:val="both"/>
              <w:rPr>
                <w:sz w:val="22"/>
                <w:szCs w:val="22"/>
              </w:rPr>
            </w:pPr>
            <w:r w:rsidRPr="00155A75">
              <w:rPr>
                <w:sz w:val="22"/>
                <w:szCs w:val="22"/>
              </w:rPr>
              <w:t>Nein</w:t>
            </w:r>
          </w:p>
        </w:tc>
      </w:tr>
      <w:tr w:rsidR="00C029C9" w:rsidRPr="00491D0B" w14:paraId="1DFEAD93" w14:textId="77777777" w:rsidTr="00AD564C">
        <w:tc>
          <w:tcPr>
            <w:tcW w:w="7479" w:type="dxa"/>
          </w:tcPr>
          <w:p w14:paraId="6C1EAB5E" w14:textId="77777777" w:rsidR="00C029C9" w:rsidRPr="00155A75" w:rsidRDefault="00C029C9" w:rsidP="00AD564C">
            <w:pPr>
              <w:jc w:val="both"/>
              <w:rPr>
                <w:sz w:val="22"/>
                <w:szCs w:val="22"/>
              </w:rPr>
            </w:pPr>
            <w:r>
              <w:rPr>
                <w:sz w:val="22"/>
                <w:szCs w:val="22"/>
              </w:rPr>
              <w:t>Übernimmt der neue Eigentümer wichtige Betriebsmittel, wie zum Beispiel Grundstücke, Gebäude oder die komplette EDV?</w:t>
            </w:r>
          </w:p>
        </w:tc>
        <w:tc>
          <w:tcPr>
            <w:tcW w:w="851" w:type="dxa"/>
          </w:tcPr>
          <w:p w14:paraId="6FA12B02" w14:textId="77777777" w:rsidR="00C029C9" w:rsidRPr="00155A75" w:rsidRDefault="00C029C9" w:rsidP="00AD564C">
            <w:pPr>
              <w:jc w:val="both"/>
              <w:rPr>
                <w:sz w:val="22"/>
                <w:szCs w:val="22"/>
              </w:rPr>
            </w:pPr>
          </w:p>
        </w:tc>
        <w:tc>
          <w:tcPr>
            <w:tcW w:w="876" w:type="dxa"/>
          </w:tcPr>
          <w:p w14:paraId="14FBE14B" w14:textId="77777777" w:rsidR="00C029C9" w:rsidRPr="00155A75" w:rsidRDefault="00C029C9" w:rsidP="00AD564C">
            <w:pPr>
              <w:jc w:val="both"/>
              <w:rPr>
                <w:sz w:val="22"/>
                <w:szCs w:val="22"/>
              </w:rPr>
            </w:pPr>
          </w:p>
        </w:tc>
      </w:tr>
      <w:tr w:rsidR="00C029C9" w:rsidRPr="00491D0B" w14:paraId="7383E2FE" w14:textId="77777777" w:rsidTr="00AD564C">
        <w:tc>
          <w:tcPr>
            <w:tcW w:w="7479" w:type="dxa"/>
          </w:tcPr>
          <w:p w14:paraId="4E55A423" w14:textId="77777777" w:rsidR="00C029C9" w:rsidRPr="00155A75" w:rsidRDefault="00C029C9" w:rsidP="00AD564C">
            <w:pPr>
              <w:jc w:val="both"/>
              <w:rPr>
                <w:sz w:val="22"/>
                <w:szCs w:val="22"/>
              </w:rPr>
            </w:pPr>
            <w:r>
              <w:rPr>
                <w:sz w:val="22"/>
                <w:szCs w:val="22"/>
              </w:rPr>
              <w:t>Sind die vor und nach dem Eigentümerwechsel verrichteten Tätigkeiten im Betrieb vergleichbar?</w:t>
            </w:r>
          </w:p>
        </w:tc>
        <w:tc>
          <w:tcPr>
            <w:tcW w:w="851" w:type="dxa"/>
          </w:tcPr>
          <w:p w14:paraId="4686B459" w14:textId="77777777" w:rsidR="00C029C9" w:rsidRPr="00155A75" w:rsidRDefault="00C029C9" w:rsidP="00AD564C">
            <w:pPr>
              <w:jc w:val="both"/>
              <w:rPr>
                <w:sz w:val="22"/>
                <w:szCs w:val="22"/>
              </w:rPr>
            </w:pPr>
          </w:p>
        </w:tc>
        <w:tc>
          <w:tcPr>
            <w:tcW w:w="876" w:type="dxa"/>
          </w:tcPr>
          <w:p w14:paraId="38C187CF" w14:textId="77777777" w:rsidR="00C029C9" w:rsidRPr="00155A75" w:rsidRDefault="00C029C9" w:rsidP="00AD564C">
            <w:pPr>
              <w:jc w:val="both"/>
              <w:rPr>
                <w:sz w:val="22"/>
                <w:szCs w:val="22"/>
              </w:rPr>
            </w:pPr>
          </w:p>
        </w:tc>
      </w:tr>
      <w:tr w:rsidR="00C029C9" w:rsidRPr="005C2C7B" w14:paraId="4961522D" w14:textId="77777777" w:rsidTr="00AD564C">
        <w:tc>
          <w:tcPr>
            <w:tcW w:w="7479" w:type="dxa"/>
          </w:tcPr>
          <w:p w14:paraId="25A81F77" w14:textId="77777777" w:rsidR="00C029C9" w:rsidRPr="00155A75" w:rsidRDefault="00C029C9" w:rsidP="00AD564C">
            <w:pPr>
              <w:jc w:val="both"/>
              <w:rPr>
                <w:sz w:val="22"/>
                <w:szCs w:val="22"/>
              </w:rPr>
            </w:pPr>
            <w:r>
              <w:rPr>
                <w:sz w:val="22"/>
                <w:szCs w:val="22"/>
              </w:rPr>
              <w:t>Geht wichtiges Fach- und Branchenwissen, wie zum Beispiel Knowhow, Lizenzen oder Urheber- und Markenrechte, auf den neuen Erwerber über?</w:t>
            </w:r>
          </w:p>
        </w:tc>
        <w:tc>
          <w:tcPr>
            <w:tcW w:w="851" w:type="dxa"/>
          </w:tcPr>
          <w:p w14:paraId="3DCBCF01" w14:textId="77777777" w:rsidR="00C029C9" w:rsidRPr="00155A75" w:rsidRDefault="00C029C9" w:rsidP="00AD564C">
            <w:pPr>
              <w:jc w:val="both"/>
              <w:rPr>
                <w:sz w:val="22"/>
                <w:szCs w:val="22"/>
              </w:rPr>
            </w:pPr>
          </w:p>
        </w:tc>
        <w:tc>
          <w:tcPr>
            <w:tcW w:w="876" w:type="dxa"/>
          </w:tcPr>
          <w:p w14:paraId="4ED12ABC" w14:textId="77777777" w:rsidR="00C029C9" w:rsidRPr="00155A75" w:rsidRDefault="00C029C9" w:rsidP="00AD564C">
            <w:pPr>
              <w:jc w:val="both"/>
              <w:rPr>
                <w:sz w:val="22"/>
                <w:szCs w:val="22"/>
              </w:rPr>
            </w:pPr>
          </w:p>
        </w:tc>
      </w:tr>
      <w:tr w:rsidR="00C029C9" w:rsidRPr="005C2C7B" w14:paraId="02D703DF" w14:textId="77777777" w:rsidTr="00AD564C">
        <w:tc>
          <w:tcPr>
            <w:tcW w:w="7479" w:type="dxa"/>
          </w:tcPr>
          <w:p w14:paraId="359A670F" w14:textId="77777777" w:rsidR="00C029C9" w:rsidRPr="00155A75" w:rsidRDefault="00C029C9" w:rsidP="00AD564C">
            <w:pPr>
              <w:jc w:val="both"/>
              <w:rPr>
                <w:sz w:val="22"/>
                <w:szCs w:val="22"/>
              </w:rPr>
            </w:pPr>
            <w:r>
              <w:rPr>
                <w:sz w:val="22"/>
                <w:szCs w:val="22"/>
              </w:rPr>
              <w:t>Werden die bisherigen Kundenbeziehungen weitergeführt?</w:t>
            </w:r>
          </w:p>
        </w:tc>
        <w:tc>
          <w:tcPr>
            <w:tcW w:w="851" w:type="dxa"/>
          </w:tcPr>
          <w:p w14:paraId="7F7074B3" w14:textId="77777777" w:rsidR="00C029C9" w:rsidRPr="00155A75" w:rsidRDefault="00C029C9" w:rsidP="00AD564C">
            <w:pPr>
              <w:jc w:val="both"/>
              <w:rPr>
                <w:sz w:val="22"/>
                <w:szCs w:val="22"/>
              </w:rPr>
            </w:pPr>
          </w:p>
        </w:tc>
        <w:tc>
          <w:tcPr>
            <w:tcW w:w="876" w:type="dxa"/>
          </w:tcPr>
          <w:p w14:paraId="1839F775" w14:textId="77777777" w:rsidR="00C029C9" w:rsidRPr="00155A75" w:rsidRDefault="00C029C9" w:rsidP="00AD564C">
            <w:pPr>
              <w:jc w:val="both"/>
              <w:rPr>
                <w:sz w:val="22"/>
                <w:szCs w:val="22"/>
              </w:rPr>
            </w:pPr>
          </w:p>
        </w:tc>
      </w:tr>
      <w:tr w:rsidR="00C029C9" w:rsidRPr="005C2C7B" w14:paraId="4B961A61" w14:textId="77777777" w:rsidTr="00AD564C">
        <w:tc>
          <w:tcPr>
            <w:tcW w:w="7479" w:type="dxa"/>
          </w:tcPr>
          <w:p w14:paraId="0DBC369D" w14:textId="77777777" w:rsidR="00C029C9" w:rsidRPr="00155A75" w:rsidRDefault="00C029C9" w:rsidP="00AD564C">
            <w:pPr>
              <w:jc w:val="both"/>
              <w:rPr>
                <w:sz w:val="22"/>
                <w:szCs w:val="22"/>
              </w:rPr>
            </w:pPr>
            <w:r>
              <w:rPr>
                <w:sz w:val="22"/>
                <w:szCs w:val="22"/>
              </w:rPr>
              <w:t>Sollen die Geschäfte ohne größere Unterbrechung durch den neuen Inhaber fortgeführt werden?</w:t>
            </w:r>
          </w:p>
        </w:tc>
        <w:tc>
          <w:tcPr>
            <w:tcW w:w="851" w:type="dxa"/>
          </w:tcPr>
          <w:p w14:paraId="0887EC26" w14:textId="77777777" w:rsidR="00C029C9" w:rsidRPr="00155A75" w:rsidRDefault="00C029C9" w:rsidP="00AD564C">
            <w:pPr>
              <w:jc w:val="both"/>
              <w:rPr>
                <w:sz w:val="22"/>
                <w:szCs w:val="22"/>
              </w:rPr>
            </w:pPr>
          </w:p>
        </w:tc>
        <w:tc>
          <w:tcPr>
            <w:tcW w:w="876" w:type="dxa"/>
          </w:tcPr>
          <w:p w14:paraId="617B2061" w14:textId="77777777" w:rsidR="00C029C9" w:rsidRPr="00155A75" w:rsidRDefault="00C029C9" w:rsidP="00AD564C">
            <w:pPr>
              <w:jc w:val="both"/>
              <w:rPr>
                <w:sz w:val="22"/>
                <w:szCs w:val="22"/>
              </w:rPr>
            </w:pPr>
          </w:p>
        </w:tc>
      </w:tr>
    </w:tbl>
    <w:p w14:paraId="587EDFB7" w14:textId="77777777" w:rsidR="00C029C9" w:rsidRPr="008947C0" w:rsidRDefault="00C029C9" w:rsidP="00C029C9">
      <w:pPr>
        <w:jc w:val="both"/>
        <w:rPr>
          <w:sz w:val="22"/>
          <w:szCs w:val="22"/>
          <w:highlight w:val="yellow"/>
        </w:rPr>
      </w:pPr>
    </w:p>
    <w:p w14:paraId="16595F93" w14:textId="77777777" w:rsidR="00C029C9" w:rsidRPr="00344697" w:rsidRDefault="00C029C9" w:rsidP="00C029C9">
      <w:pPr>
        <w:jc w:val="both"/>
        <w:rPr>
          <w:sz w:val="22"/>
          <w:szCs w:val="22"/>
        </w:rPr>
      </w:pPr>
      <w:r>
        <w:rPr>
          <w:sz w:val="22"/>
          <w:szCs w:val="22"/>
        </w:rPr>
        <w:t>Je mehr dieser Fragen Sie als Betriebsrat mit „Ja“ beantworten können, desto sicherer ist von einem Betriebsübergang auszugehen.</w:t>
      </w:r>
    </w:p>
    <w:p w14:paraId="19493807" w14:textId="77777777" w:rsidR="003921D5" w:rsidRDefault="003921D5" w:rsidP="00C019D7">
      <w:pPr>
        <w:rPr>
          <w:rFonts w:ascii="Helvetica" w:hAnsi="Helvetica" w:cs="Helvetica"/>
          <w:color w:val="000000"/>
          <w:sz w:val="20"/>
          <w:szCs w:val="20"/>
        </w:rPr>
      </w:pPr>
    </w:p>
    <w:p w14:paraId="0F5D5812" w14:textId="172C4B16" w:rsidR="003D4DDA" w:rsidRPr="008C3D15" w:rsidRDefault="003D4DDA" w:rsidP="00C019D7">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7F98C4F9"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902B78">
        <w:rPr>
          <w:rFonts w:ascii="Arial" w:eastAsia="Times New Roman" w:hAnsi="Arial" w:cs="Arial"/>
          <w:color w:val="868686"/>
          <w:sz w:val="13"/>
          <w:szCs w:val="13"/>
          <w:lang w:eastAsia="de-DE"/>
        </w:rPr>
        <w:t>2</w:t>
      </w:r>
      <w:r w:rsidR="00C029C9">
        <w:rPr>
          <w:rFonts w:ascii="Arial" w:eastAsia="Times New Roman" w:hAnsi="Arial" w:cs="Arial"/>
          <w:color w:val="868686"/>
          <w:sz w:val="13"/>
          <w:szCs w:val="13"/>
          <w:lang w:eastAsia="de-DE"/>
        </w:rPr>
        <w:t>2</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5A181" w14:textId="77777777" w:rsidR="00D363E8" w:rsidRDefault="00D363E8" w:rsidP="00BF7674">
      <w:r>
        <w:separator/>
      </w:r>
    </w:p>
  </w:endnote>
  <w:endnote w:type="continuationSeparator" w:id="0">
    <w:p w14:paraId="65A68675" w14:textId="77777777" w:rsidR="00D363E8" w:rsidRDefault="00D363E8"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B51D7" w14:textId="77777777" w:rsidR="00D363E8" w:rsidRDefault="00D363E8" w:rsidP="00BF7674">
      <w:r>
        <w:separator/>
      </w:r>
    </w:p>
  </w:footnote>
  <w:footnote w:type="continuationSeparator" w:id="0">
    <w:p w14:paraId="162CC400" w14:textId="77777777" w:rsidR="00D363E8" w:rsidRDefault="00D363E8"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5D7"/>
    <w:multiLevelType w:val="hybridMultilevel"/>
    <w:tmpl w:val="B49EAB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DB36D2"/>
    <w:multiLevelType w:val="hybridMultilevel"/>
    <w:tmpl w:val="363AD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637D90"/>
    <w:multiLevelType w:val="hybridMultilevel"/>
    <w:tmpl w:val="C44AED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258E5"/>
    <w:multiLevelType w:val="hybridMultilevel"/>
    <w:tmpl w:val="30602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50F0B86"/>
    <w:multiLevelType w:val="multilevel"/>
    <w:tmpl w:val="7628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5FB4E0C"/>
    <w:multiLevelType w:val="hybridMultilevel"/>
    <w:tmpl w:val="D84C8342"/>
    <w:lvl w:ilvl="0" w:tplc="76425785">
      <w:start w:val="1"/>
      <w:numFmt w:val="decimal"/>
      <w:lvlText w:val="%1."/>
      <w:lvlJc w:val="left"/>
      <w:pPr>
        <w:ind w:left="720" w:hanging="360"/>
      </w:pPr>
    </w:lvl>
    <w:lvl w:ilvl="1" w:tplc="76425785" w:tentative="1">
      <w:start w:val="1"/>
      <w:numFmt w:val="lowerLetter"/>
      <w:lvlText w:val="%2."/>
      <w:lvlJc w:val="left"/>
      <w:pPr>
        <w:ind w:left="1440" w:hanging="360"/>
      </w:pPr>
    </w:lvl>
    <w:lvl w:ilvl="2" w:tplc="76425785" w:tentative="1">
      <w:start w:val="1"/>
      <w:numFmt w:val="lowerRoman"/>
      <w:lvlText w:val="%3."/>
      <w:lvlJc w:val="right"/>
      <w:pPr>
        <w:ind w:left="2160" w:hanging="180"/>
      </w:pPr>
    </w:lvl>
    <w:lvl w:ilvl="3" w:tplc="76425785" w:tentative="1">
      <w:start w:val="1"/>
      <w:numFmt w:val="decimal"/>
      <w:lvlText w:val="%4."/>
      <w:lvlJc w:val="left"/>
      <w:pPr>
        <w:ind w:left="2880" w:hanging="360"/>
      </w:pPr>
    </w:lvl>
    <w:lvl w:ilvl="4" w:tplc="76425785" w:tentative="1">
      <w:start w:val="1"/>
      <w:numFmt w:val="lowerLetter"/>
      <w:lvlText w:val="%5."/>
      <w:lvlJc w:val="left"/>
      <w:pPr>
        <w:ind w:left="3600" w:hanging="360"/>
      </w:pPr>
    </w:lvl>
    <w:lvl w:ilvl="5" w:tplc="76425785" w:tentative="1">
      <w:start w:val="1"/>
      <w:numFmt w:val="lowerRoman"/>
      <w:lvlText w:val="%6."/>
      <w:lvlJc w:val="right"/>
      <w:pPr>
        <w:ind w:left="4320" w:hanging="180"/>
      </w:pPr>
    </w:lvl>
    <w:lvl w:ilvl="6" w:tplc="76425785" w:tentative="1">
      <w:start w:val="1"/>
      <w:numFmt w:val="decimal"/>
      <w:lvlText w:val="%7."/>
      <w:lvlJc w:val="left"/>
      <w:pPr>
        <w:ind w:left="5040" w:hanging="360"/>
      </w:pPr>
    </w:lvl>
    <w:lvl w:ilvl="7" w:tplc="76425785" w:tentative="1">
      <w:start w:val="1"/>
      <w:numFmt w:val="lowerLetter"/>
      <w:lvlText w:val="%8."/>
      <w:lvlJc w:val="left"/>
      <w:pPr>
        <w:ind w:left="5760" w:hanging="360"/>
      </w:pPr>
    </w:lvl>
    <w:lvl w:ilvl="8" w:tplc="76425785" w:tentative="1">
      <w:start w:val="1"/>
      <w:numFmt w:val="lowerRoman"/>
      <w:lvlText w:val="%9."/>
      <w:lvlJc w:val="right"/>
      <w:pPr>
        <w:ind w:left="6480" w:hanging="180"/>
      </w:pPr>
    </w:lvl>
  </w:abstractNum>
  <w:abstractNum w:abstractNumId="13"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2C267F1"/>
    <w:multiLevelType w:val="hybridMultilevel"/>
    <w:tmpl w:val="B67E80D2"/>
    <w:lvl w:ilvl="0" w:tplc="17938742">
      <w:start w:val="1"/>
      <w:numFmt w:val="decimal"/>
      <w:lvlText w:val="%1."/>
      <w:lvlJc w:val="left"/>
      <w:pPr>
        <w:ind w:left="720" w:hanging="360"/>
      </w:pPr>
    </w:lvl>
    <w:lvl w:ilvl="1" w:tplc="17938742" w:tentative="1">
      <w:start w:val="1"/>
      <w:numFmt w:val="lowerLetter"/>
      <w:lvlText w:val="%2."/>
      <w:lvlJc w:val="left"/>
      <w:pPr>
        <w:ind w:left="1440" w:hanging="360"/>
      </w:pPr>
    </w:lvl>
    <w:lvl w:ilvl="2" w:tplc="17938742" w:tentative="1">
      <w:start w:val="1"/>
      <w:numFmt w:val="lowerRoman"/>
      <w:lvlText w:val="%3."/>
      <w:lvlJc w:val="right"/>
      <w:pPr>
        <w:ind w:left="2160" w:hanging="180"/>
      </w:pPr>
    </w:lvl>
    <w:lvl w:ilvl="3" w:tplc="17938742" w:tentative="1">
      <w:start w:val="1"/>
      <w:numFmt w:val="decimal"/>
      <w:lvlText w:val="%4."/>
      <w:lvlJc w:val="left"/>
      <w:pPr>
        <w:ind w:left="2880" w:hanging="360"/>
      </w:pPr>
    </w:lvl>
    <w:lvl w:ilvl="4" w:tplc="17938742" w:tentative="1">
      <w:start w:val="1"/>
      <w:numFmt w:val="lowerLetter"/>
      <w:lvlText w:val="%5."/>
      <w:lvlJc w:val="left"/>
      <w:pPr>
        <w:ind w:left="3600" w:hanging="360"/>
      </w:pPr>
    </w:lvl>
    <w:lvl w:ilvl="5" w:tplc="17938742" w:tentative="1">
      <w:start w:val="1"/>
      <w:numFmt w:val="lowerRoman"/>
      <w:lvlText w:val="%6."/>
      <w:lvlJc w:val="right"/>
      <w:pPr>
        <w:ind w:left="4320" w:hanging="180"/>
      </w:pPr>
    </w:lvl>
    <w:lvl w:ilvl="6" w:tplc="17938742" w:tentative="1">
      <w:start w:val="1"/>
      <w:numFmt w:val="decimal"/>
      <w:lvlText w:val="%7."/>
      <w:lvlJc w:val="left"/>
      <w:pPr>
        <w:ind w:left="5040" w:hanging="360"/>
      </w:pPr>
    </w:lvl>
    <w:lvl w:ilvl="7" w:tplc="17938742" w:tentative="1">
      <w:start w:val="1"/>
      <w:numFmt w:val="lowerLetter"/>
      <w:lvlText w:val="%8."/>
      <w:lvlJc w:val="left"/>
      <w:pPr>
        <w:ind w:left="5760" w:hanging="360"/>
      </w:pPr>
    </w:lvl>
    <w:lvl w:ilvl="8" w:tplc="17938742" w:tentative="1">
      <w:start w:val="1"/>
      <w:numFmt w:val="lowerRoman"/>
      <w:lvlText w:val="%9."/>
      <w:lvlJc w:val="right"/>
      <w:pPr>
        <w:ind w:left="6480" w:hanging="180"/>
      </w:pPr>
    </w:lvl>
  </w:abstractNum>
  <w:abstractNum w:abstractNumId="16"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4F5C1D"/>
    <w:multiLevelType w:val="hybridMultilevel"/>
    <w:tmpl w:val="38267E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9CB4DED"/>
    <w:multiLevelType w:val="hybridMultilevel"/>
    <w:tmpl w:val="A5F8CD94"/>
    <w:lvl w:ilvl="0" w:tplc="55518593">
      <w:start w:val="1"/>
      <w:numFmt w:val="decimal"/>
      <w:lvlText w:val="%1."/>
      <w:lvlJc w:val="left"/>
      <w:pPr>
        <w:ind w:left="720" w:hanging="360"/>
      </w:pPr>
    </w:lvl>
    <w:lvl w:ilvl="1" w:tplc="55518593" w:tentative="1">
      <w:start w:val="1"/>
      <w:numFmt w:val="lowerLetter"/>
      <w:lvlText w:val="%2."/>
      <w:lvlJc w:val="left"/>
      <w:pPr>
        <w:ind w:left="1440" w:hanging="360"/>
      </w:pPr>
    </w:lvl>
    <w:lvl w:ilvl="2" w:tplc="55518593" w:tentative="1">
      <w:start w:val="1"/>
      <w:numFmt w:val="lowerRoman"/>
      <w:lvlText w:val="%3."/>
      <w:lvlJc w:val="right"/>
      <w:pPr>
        <w:ind w:left="2160" w:hanging="180"/>
      </w:pPr>
    </w:lvl>
    <w:lvl w:ilvl="3" w:tplc="55518593" w:tentative="1">
      <w:start w:val="1"/>
      <w:numFmt w:val="decimal"/>
      <w:lvlText w:val="%4."/>
      <w:lvlJc w:val="left"/>
      <w:pPr>
        <w:ind w:left="2880" w:hanging="360"/>
      </w:pPr>
    </w:lvl>
    <w:lvl w:ilvl="4" w:tplc="55518593" w:tentative="1">
      <w:start w:val="1"/>
      <w:numFmt w:val="lowerLetter"/>
      <w:lvlText w:val="%5."/>
      <w:lvlJc w:val="left"/>
      <w:pPr>
        <w:ind w:left="3600" w:hanging="360"/>
      </w:pPr>
    </w:lvl>
    <w:lvl w:ilvl="5" w:tplc="55518593" w:tentative="1">
      <w:start w:val="1"/>
      <w:numFmt w:val="lowerRoman"/>
      <w:lvlText w:val="%6."/>
      <w:lvlJc w:val="right"/>
      <w:pPr>
        <w:ind w:left="4320" w:hanging="180"/>
      </w:pPr>
    </w:lvl>
    <w:lvl w:ilvl="6" w:tplc="55518593" w:tentative="1">
      <w:start w:val="1"/>
      <w:numFmt w:val="decimal"/>
      <w:lvlText w:val="%7."/>
      <w:lvlJc w:val="left"/>
      <w:pPr>
        <w:ind w:left="5040" w:hanging="360"/>
      </w:pPr>
    </w:lvl>
    <w:lvl w:ilvl="7" w:tplc="55518593" w:tentative="1">
      <w:start w:val="1"/>
      <w:numFmt w:val="lowerLetter"/>
      <w:lvlText w:val="%8."/>
      <w:lvlJc w:val="left"/>
      <w:pPr>
        <w:ind w:left="5760" w:hanging="360"/>
      </w:pPr>
    </w:lvl>
    <w:lvl w:ilvl="8" w:tplc="55518593" w:tentative="1">
      <w:start w:val="1"/>
      <w:numFmt w:val="lowerRoman"/>
      <w:lvlText w:val="%9."/>
      <w:lvlJc w:val="right"/>
      <w:pPr>
        <w:ind w:left="6480" w:hanging="180"/>
      </w:pPr>
    </w:lvl>
  </w:abstractNum>
  <w:abstractNum w:abstractNumId="19" w15:restartNumberingAfterBreak="0">
    <w:nsid w:val="3DF7005B"/>
    <w:multiLevelType w:val="hybridMultilevel"/>
    <w:tmpl w:val="ADA2B8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566074"/>
    <w:multiLevelType w:val="hybridMultilevel"/>
    <w:tmpl w:val="18B2D6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EA54D15"/>
    <w:multiLevelType w:val="hybridMultilevel"/>
    <w:tmpl w:val="F2BE0F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08F369C"/>
    <w:multiLevelType w:val="hybridMultilevel"/>
    <w:tmpl w:val="3124C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10C6FA3"/>
    <w:multiLevelType w:val="hybridMultilevel"/>
    <w:tmpl w:val="FB0222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6"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8" w15:restartNumberingAfterBreak="0">
    <w:nsid w:val="779D0821"/>
    <w:multiLevelType w:val="hybridMultilevel"/>
    <w:tmpl w:val="1680A9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88B352F"/>
    <w:multiLevelType w:val="hybridMultilevel"/>
    <w:tmpl w:val="09CC3A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B234FDC"/>
    <w:multiLevelType w:val="hybridMultilevel"/>
    <w:tmpl w:val="74F2FE5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7"/>
  </w:num>
  <w:num w:numId="2">
    <w:abstractNumId w:val="25"/>
  </w:num>
  <w:num w:numId="3">
    <w:abstractNumId w:val="10"/>
  </w:num>
  <w:num w:numId="4">
    <w:abstractNumId w:val="26"/>
  </w:num>
  <w:num w:numId="5">
    <w:abstractNumId w:val="13"/>
  </w:num>
  <w:num w:numId="6">
    <w:abstractNumId w:val="11"/>
  </w:num>
  <w:num w:numId="7">
    <w:abstractNumId w:val="24"/>
  </w:num>
  <w:num w:numId="8">
    <w:abstractNumId w:val="16"/>
  </w:num>
  <w:num w:numId="9">
    <w:abstractNumId w:val="1"/>
  </w:num>
  <w:num w:numId="10">
    <w:abstractNumId w:val="30"/>
  </w:num>
  <w:num w:numId="11">
    <w:abstractNumId w:val="19"/>
  </w:num>
  <w:num w:numId="12">
    <w:abstractNumId w:val="2"/>
  </w:num>
  <w:num w:numId="13">
    <w:abstractNumId w:val="22"/>
  </w:num>
  <w:num w:numId="14">
    <w:abstractNumId w:val="28"/>
  </w:num>
  <w:num w:numId="15">
    <w:abstractNumId w:val="5"/>
  </w:num>
  <w:num w:numId="16">
    <w:abstractNumId w:val="31"/>
  </w:num>
  <w:num w:numId="17">
    <w:abstractNumId w:val="20"/>
  </w:num>
  <w:num w:numId="18">
    <w:abstractNumId w:val="18"/>
  </w:num>
  <w:num w:numId="19">
    <w:abstractNumId w:val="15"/>
  </w:num>
  <w:num w:numId="20">
    <w:abstractNumId w:val="12"/>
  </w:num>
  <w:num w:numId="21">
    <w:abstractNumId w:val="4"/>
  </w:num>
  <w:num w:numId="22">
    <w:abstractNumId w:val="8"/>
  </w:num>
  <w:num w:numId="23">
    <w:abstractNumId w:val="9"/>
  </w:num>
  <w:num w:numId="24">
    <w:abstractNumId w:val="0"/>
  </w:num>
  <w:num w:numId="25">
    <w:abstractNumId w:val="17"/>
  </w:num>
  <w:num w:numId="26">
    <w:abstractNumId w:val="23"/>
  </w:num>
  <w:num w:numId="27">
    <w:abstractNumId w:val="14"/>
  </w:num>
  <w:num w:numId="28">
    <w:abstractNumId w:val="6"/>
  </w:num>
  <w:num w:numId="29">
    <w:abstractNumId w:val="3"/>
  </w:num>
  <w:num w:numId="30">
    <w:abstractNumId w:val="21"/>
  </w:num>
  <w:num w:numId="31">
    <w:abstractNumId w:val="29"/>
  </w:num>
  <w:num w:numId="32">
    <w:abstractNumId w:val="7"/>
  </w:num>
  <w:num w:numId="33">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27B0A"/>
    <w:rsid w:val="0003001E"/>
    <w:rsid w:val="00035763"/>
    <w:rsid w:val="000404BE"/>
    <w:rsid w:val="00042E16"/>
    <w:rsid w:val="00044C67"/>
    <w:rsid w:val="0005239C"/>
    <w:rsid w:val="00052E29"/>
    <w:rsid w:val="00062899"/>
    <w:rsid w:val="000672E5"/>
    <w:rsid w:val="00071465"/>
    <w:rsid w:val="000834E2"/>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41406"/>
    <w:rsid w:val="001514A8"/>
    <w:rsid w:val="001645E9"/>
    <w:rsid w:val="00164F6D"/>
    <w:rsid w:val="001A0480"/>
    <w:rsid w:val="001B6BCA"/>
    <w:rsid w:val="001C2FF1"/>
    <w:rsid w:val="001C4727"/>
    <w:rsid w:val="001D0172"/>
    <w:rsid w:val="001D4E7C"/>
    <w:rsid w:val="001D639A"/>
    <w:rsid w:val="001D7223"/>
    <w:rsid w:val="001F73CB"/>
    <w:rsid w:val="00200DC5"/>
    <w:rsid w:val="00202F91"/>
    <w:rsid w:val="0020314A"/>
    <w:rsid w:val="002034B7"/>
    <w:rsid w:val="00212A55"/>
    <w:rsid w:val="00213282"/>
    <w:rsid w:val="00214DCE"/>
    <w:rsid w:val="00224CBC"/>
    <w:rsid w:val="00236210"/>
    <w:rsid w:val="00245313"/>
    <w:rsid w:val="00246FFB"/>
    <w:rsid w:val="0026608F"/>
    <w:rsid w:val="002706FF"/>
    <w:rsid w:val="00271575"/>
    <w:rsid w:val="00274A54"/>
    <w:rsid w:val="00283025"/>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83E"/>
    <w:rsid w:val="003A73FA"/>
    <w:rsid w:val="003B1610"/>
    <w:rsid w:val="003B55E7"/>
    <w:rsid w:val="003D31D8"/>
    <w:rsid w:val="003D4DDA"/>
    <w:rsid w:val="003D6DD2"/>
    <w:rsid w:val="003E5DF0"/>
    <w:rsid w:val="003E73F4"/>
    <w:rsid w:val="003F0057"/>
    <w:rsid w:val="00403B64"/>
    <w:rsid w:val="004143C8"/>
    <w:rsid w:val="00414BB2"/>
    <w:rsid w:val="004179B4"/>
    <w:rsid w:val="004320AC"/>
    <w:rsid w:val="00435CEE"/>
    <w:rsid w:val="004426A6"/>
    <w:rsid w:val="00465BFC"/>
    <w:rsid w:val="00471679"/>
    <w:rsid w:val="00476D67"/>
    <w:rsid w:val="00482E16"/>
    <w:rsid w:val="004921DD"/>
    <w:rsid w:val="004D4D41"/>
    <w:rsid w:val="004E5579"/>
    <w:rsid w:val="004E5881"/>
    <w:rsid w:val="004F68E4"/>
    <w:rsid w:val="00500D02"/>
    <w:rsid w:val="00501BA4"/>
    <w:rsid w:val="005134D8"/>
    <w:rsid w:val="005270A9"/>
    <w:rsid w:val="00531BA5"/>
    <w:rsid w:val="00533B85"/>
    <w:rsid w:val="0053599B"/>
    <w:rsid w:val="00540B3B"/>
    <w:rsid w:val="00545017"/>
    <w:rsid w:val="0055247E"/>
    <w:rsid w:val="00570CA4"/>
    <w:rsid w:val="00572945"/>
    <w:rsid w:val="005741CE"/>
    <w:rsid w:val="00597087"/>
    <w:rsid w:val="005A6350"/>
    <w:rsid w:val="005B0639"/>
    <w:rsid w:val="005C248D"/>
    <w:rsid w:val="005C56D0"/>
    <w:rsid w:val="005D738F"/>
    <w:rsid w:val="005F3711"/>
    <w:rsid w:val="005F391D"/>
    <w:rsid w:val="00606B8B"/>
    <w:rsid w:val="00614CE0"/>
    <w:rsid w:val="00617E30"/>
    <w:rsid w:val="006358A7"/>
    <w:rsid w:val="00637B4D"/>
    <w:rsid w:val="00642119"/>
    <w:rsid w:val="0067497C"/>
    <w:rsid w:val="00675F8C"/>
    <w:rsid w:val="006944EE"/>
    <w:rsid w:val="006A25E4"/>
    <w:rsid w:val="006A47A9"/>
    <w:rsid w:val="006B59F1"/>
    <w:rsid w:val="006C2A68"/>
    <w:rsid w:val="006C3DB7"/>
    <w:rsid w:val="006F2F86"/>
    <w:rsid w:val="006F4B38"/>
    <w:rsid w:val="0070331C"/>
    <w:rsid w:val="00704937"/>
    <w:rsid w:val="00715B49"/>
    <w:rsid w:val="00732E64"/>
    <w:rsid w:val="00736DAD"/>
    <w:rsid w:val="00753BC8"/>
    <w:rsid w:val="007608CB"/>
    <w:rsid w:val="007B6C2E"/>
    <w:rsid w:val="007E5C29"/>
    <w:rsid w:val="007E63FB"/>
    <w:rsid w:val="007F6104"/>
    <w:rsid w:val="008000C5"/>
    <w:rsid w:val="00814B42"/>
    <w:rsid w:val="00852E94"/>
    <w:rsid w:val="0086281A"/>
    <w:rsid w:val="00863AAB"/>
    <w:rsid w:val="008761F9"/>
    <w:rsid w:val="0088660B"/>
    <w:rsid w:val="008A2823"/>
    <w:rsid w:val="008B0350"/>
    <w:rsid w:val="008B25BF"/>
    <w:rsid w:val="008B6F56"/>
    <w:rsid w:val="008C3D15"/>
    <w:rsid w:val="008C527B"/>
    <w:rsid w:val="008D38C2"/>
    <w:rsid w:val="008E1F02"/>
    <w:rsid w:val="008E75C9"/>
    <w:rsid w:val="008F0C70"/>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A6368"/>
    <w:rsid w:val="009B52B1"/>
    <w:rsid w:val="009B62E5"/>
    <w:rsid w:val="00A13CFE"/>
    <w:rsid w:val="00A22739"/>
    <w:rsid w:val="00A27A08"/>
    <w:rsid w:val="00A27EF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B4301"/>
    <w:rsid w:val="00BC7F5F"/>
    <w:rsid w:val="00BF246D"/>
    <w:rsid w:val="00BF7674"/>
    <w:rsid w:val="00C019D7"/>
    <w:rsid w:val="00C01E18"/>
    <w:rsid w:val="00C029C9"/>
    <w:rsid w:val="00C07913"/>
    <w:rsid w:val="00C231FA"/>
    <w:rsid w:val="00C23DE9"/>
    <w:rsid w:val="00C261C3"/>
    <w:rsid w:val="00C31E5F"/>
    <w:rsid w:val="00C56162"/>
    <w:rsid w:val="00C748D0"/>
    <w:rsid w:val="00C95E1B"/>
    <w:rsid w:val="00C964AB"/>
    <w:rsid w:val="00CA266E"/>
    <w:rsid w:val="00CA51E5"/>
    <w:rsid w:val="00CB25C0"/>
    <w:rsid w:val="00CB52E4"/>
    <w:rsid w:val="00CB76B8"/>
    <w:rsid w:val="00CD1028"/>
    <w:rsid w:val="00CE48B7"/>
    <w:rsid w:val="00CE7087"/>
    <w:rsid w:val="00D24C4E"/>
    <w:rsid w:val="00D27234"/>
    <w:rsid w:val="00D33882"/>
    <w:rsid w:val="00D344BC"/>
    <w:rsid w:val="00D363E8"/>
    <w:rsid w:val="00D36A66"/>
    <w:rsid w:val="00D44D91"/>
    <w:rsid w:val="00D56A16"/>
    <w:rsid w:val="00D70102"/>
    <w:rsid w:val="00D7088D"/>
    <w:rsid w:val="00D817A6"/>
    <w:rsid w:val="00D84F0D"/>
    <w:rsid w:val="00D93B97"/>
    <w:rsid w:val="00DB649D"/>
    <w:rsid w:val="00DC566A"/>
    <w:rsid w:val="00DE449A"/>
    <w:rsid w:val="00DE4529"/>
    <w:rsid w:val="00E12D79"/>
    <w:rsid w:val="00E22B2F"/>
    <w:rsid w:val="00E30029"/>
    <w:rsid w:val="00E66D67"/>
    <w:rsid w:val="00E66F73"/>
    <w:rsid w:val="00E73141"/>
    <w:rsid w:val="00E91429"/>
    <w:rsid w:val="00E93BCE"/>
    <w:rsid w:val="00E9774B"/>
    <w:rsid w:val="00E9777D"/>
    <w:rsid w:val="00EA263C"/>
    <w:rsid w:val="00EC3588"/>
    <w:rsid w:val="00EE5E10"/>
    <w:rsid w:val="00F003B2"/>
    <w:rsid w:val="00F00976"/>
    <w:rsid w:val="00F12170"/>
    <w:rsid w:val="00F1236E"/>
    <w:rsid w:val="00F24494"/>
    <w:rsid w:val="00F53ADD"/>
    <w:rsid w:val="00F61294"/>
    <w:rsid w:val="00F6686B"/>
    <w:rsid w:val="00F8051D"/>
    <w:rsid w:val="00FA1245"/>
    <w:rsid w:val="00FA67AD"/>
    <w:rsid w:val="00FB59DD"/>
    <w:rsid w:val="00FC1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2306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2021-09-13T05:25:00Z</dcterms:created>
  <dcterms:modified xsi:type="dcterms:W3CDTF">2021-09-13T05:25:00Z</dcterms:modified>
</cp:coreProperties>
</file>