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8C70" w14:textId="1C55360E" w:rsidR="00C96A89" w:rsidRDefault="00C96A89" w:rsidP="00C96A89">
      <w:pPr>
        <w:pStyle w:val="PNLSubhead"/>
        <w:outlineLvl w:val="0"/>
      </w:pPr>
      <w:r>
        <w:t>Schnell-Check: Das muss der Verkäufer beim Betriebsübergang tun</w:t>
      </w:r>
    </w:p>
    <w:p w14:paraId="0C0779DA" w14:textId="77777777" w:rsidR="00C96A89" w:rsidRPr="00C96A89" w:rsidRDefault="00C96A89" w:rsidP="00C96A89">
      <w:pPr>
        <w:rPr>
          <w:lang w:eastAsia="de-DE"/>
        </w:rPr>
      </w:pPr>
    </w:p>
    <w:tbl>
      <w:tblPr>
        <w:tblStyle w:val="Tabellenraster"/>
        <w:tblW w:w="0" w:type="auto"/>
        <w:tblLook w:val="04A0" w:firstRow="1" w:lastRow="0" w:firstColumn="1" w:lastColumn="0" w:noHBand="0" w:noVBand="1"/>
      </w:tblPr>
      <w:tblGrid>
        <w:gridCol w:w="7285"/>
        <w:gridCol w:w="810"/>
        <w:gridCol w:w="961"/>
      </w:tblGrid>
      <w:tr w:rsidR="00C96A89" w14:paraId="1FEF3463" w14:textId="77777777" w:rsidTr="00AD564C">
        <w:tc>
          <w:tcPr>
            <w:tcW w:w="7285" w:type="dxa"/>
          </w:tcPr>
          <w:p w14:paraId="341F8D5D" w14:textId="77777777" w:rsidR="00C96A89" w:rsidRDefault="00C96A89" w:rsidP="00AD564C">
            <w:pPr>
              <w:jc w:val="both"/>
              <w:rPr>
                <w:sz w:val="22"/>
                <w:szCs w:val="22"/>
              </w:rPr>
            </w:pPr>
            <w:r>
              <w:rPr>
                <w:sz w:val="22"/>
                <w:szCs w:val="22"/>
              </w:rPr>
              <w:t>Sind Ihre Kolleginnen und Kollegen im Falle des Betriebsübergangs schriftlich</w:t>
            </w:r>
          </w:p>
        </w:tc>
        <w:tc>
          <w:tcPr>
            <w:tcW w:w="810" w:type="dxa"/>
          </w:tcPr>
          <w:p w14:paraId="397EF91C" w14:textId="77777777" w:rsidR="00C96A89" w:rsidRDefault="00C96A89" w:rsidP="00AD564C">
            <w:pPr>
              <w:jc w:val="both"/>
              <w:rPr>
                <w:sz w:val="22"/>
                <w:szCs w:val="22"/>
              </w:rPr>
            </w:pPr>
            <w:r>
              <w:rPr>
                <w:sz w:val="22"/>
                <w:szCs w:val="22"/>
              </w:rPr>
              <w:t>Ja</w:t>
            </w:r>
          </w:p>
        </w:tc>
        <w:tc>
          <w:tcPr>
            <w:tcW w:w="961" w:type="dxa"/>
          </w:tcPr>
          <w:p w14:paraId="57277638" w14:textId="77777777" w:rsidR="00C96A89" w:rsidRDefault="00C96A89" w:rsidP="00AD564C">
            <w:pPr>
              <w:jc w:val="both"/>
              <w:rPr>
                <w:sz w:val="22"/>
                <w:szCs w:val="22"/>
              </w:rPr>
            </w:pPr>
            <w:r>
              <w:rPr>
                <w:sz w:val="22"/>
                <w:szCs w:val="22"/>
              </w:rPr>
              <w:t>Nein</w:t>
            </w:r>
          </w:p>
        </w:tc>
      </w:tr>
      <w:tr w:rsidR="00C96A89" w:rsidRPr="00491D0B" w14:paraId="4930F641" w14:textId="77777777" w:rsidTr="00AD564C">
        <w:tc>
          <w:tcPr>
            <w:tcW w:w="7285" w:type="dxa"/>
          </w:tcPr>
          <w:p w14:paraId="36B97EFA" w14:textId="77777777" w:rsidR="00C96A89" w:rsidRPr="009C7E47" w:rsidRDefault="00C96A89" w:rsidP="00C96A89">
            <w:pPr>
              <w:pStyle w:val="Listenabsatz"/>
              <w:numPr>
                <w:ilvl w:val="0"/>
                <w:numId w:val="34"/>
              </w:numPr>
              <w:jc w:val="both"/>
              <w:rPr>
                <w:sz w:val="22"/>
                <w:szCs w:val="22"/>
              </w:rPr>
            </w:pPr>
            <w:r>
              <w:rPr>
                <w:sz w:val="22"/>
                <w:szCs w:val="22"/>
              </w:rPr>
              <w:t>über den geplanten Zeitpunkt des Betriebsübergangs</w:t>
            </w:r>
          </w:p>
        </w:tc>
        <w:tc>
          <w:tcPr>
            <w:tcW w:w="810" w:type="dxa"/>
          </w:tcPr>
          <w:p w14:paraId="0548FB77" w14:textId="77777777" w:rsidR="00C96A89" w:rsidRDefault="00C96A89" w:rsidP="00AD564C">
            <w:pPr>
              <w:jc w:val="both"/>
              <w:rPr>
                <w:sz w:val="22"/>
                <w:szCs w:val="22"/>
              </w:rPr>
            </w:pPr>
          </w:p>
        </w:tc>
        <w:tc>
          <w:tcPr>
            <w:tcW w:w="961" w:type="dxa"/>
          </w:tcPr>
          <w:p w14:paraId="5BE3B203" w14:textId="77777777" w:rsidR="00C96A89" w:rsidRDefault="00C96A89" w:rsidP="00AD564C">
            <w:pPr>
              <w:jc w:val="both"/>
              <w:rPr>
                <w:sz w:val="22"/>
                <w:szCs w:val="22"/>
              </w:rPr>
            </w:pPr>
          </w:p>
        </w:tc>
      </w:tr>
      <w:tr w:rsidR="00C96A89" w:rsidRPr="00491D0B" w14:paraId="7DC016C1" w14:textId="77777777" w:rsidTr="00AD564C">
        <w:tc>
          <w:tcPr>
            <w:tcW w:w="7285" w:type="dxa"/>
          </w:tcPr>
          <w:p w14:paraId="7663FB4B" w14:textId="77777777" w:rsidR="00C96A89" w:rsidRDefault="00C96A89" w:rsidP="00C96A89">
            <w:pPr>
              <w:pStyle w:val="Listenabsatz"/>
              <w:numPr>
                <w:ilvl w:val="0"/>
                <w:numId w:val="34"/>
              </w:numPr>
              <w:jc w:val="both"/>
              <w:rPr>
                <w:sz w:val="22"/>
                <w:szCs w:val="22"/>
              </w:rPr>
            </w:pPr>
            <w:r>
              <w:rPr>
                <w:sz w:val="22"/>
                <w:szCs w:val="22"/>
              </w:rPr>
              <w:t>den Grund für den Betriebsübergang</w:t>
            </w:r>
          </w:p>
        </w:tc>
        <w:tc>
          <w:tcPr>
            <w:tcW w:w="810" w:type="dxa"/>
          </w:tcPr>
          <w:p w14:paraId="74AC6AB9" w14:textId="77777777" w:rsidR="00C96A89" w:rsidRDefault="00C96A89" w:rsidP="00AD564C">
            <w:pPr>
              <w:jc w:val="both"/>
              <w:rPr>
                <w:sz w:val="22"/>
                <w:szCs w:val="22"/>
              </w:rPr>
            </w:pPr>
          </w:p>
        </w:tc>
        <w:tc>
          <w:tcPr>
            <w:tcW w:w="961" w:type="dxa"/>
          </w:tcPr>
          <w:p w14:paraId="15872C6D" w14:textId="77777777" w:rsidR="00C96A89" w:rsidRDefault="00C96A89" w:rsidP="00AD564C">
            <w:pPr>
              <w:jc w:val="both"/>
              <w:rPr>
                <w:sz w:val="22"/>
                <w:szCs w:val="22"/>
              </w:rPr>
            </w:pPr>
          </w:p>
        </w:tc>
      </w:tr>
      <w:tr w:rsidR="00C96A89" w:rsidRPr="00491D0B" w14:paraId="78D67712" w14:textId="77777777" w:rsidTr="00AD564C">
        <w:tc>
          <w:tcPr>
            <w:tcW w:w="7285" w:type="dxa"/>
          </w:tcPr>
          <w:p w14:paraId="4D35DD0E" w14:textId="77777777" w:rsidR="00C96A89" w:rsidRPr="009C7E47" w:rsidRDefault="00C96A89" w:rsidP="00C96A89">
            <w:pPr>
              <w:pStyle w:val="Listenabsatz"/>
              <w:numPr>
                <w:ilvl w:val="0"/>
                <w:numId w:val="34"/>
              </w:numPr>
              <w:jc w:val="both"/>
              <w:rPr>
                <w:sz w:val="22"/>
                <w:szCs w:val="22"/>
              </w:rPr>
            </w:pPr>
            <w:r>
              <w:rPr>
                <w:sz w:val="22"/>
                <w:szCs w:val="22"/>
              </w:rPr>
              <w:t>die damit verbundenen rechtlichen, sozialen und wirtschaftlichen Folgen und</w:t>
            </w:r>
          </w:p>
        </w:tc>
        <w:tc>
          <w:tcPr>
            <w:tcW w:w="810" w:type="dxa"/>
          </w:tcPr>
          <w:p w14:paraId="266E2E24" w14:textId="77777777" w:rsidR="00C96A89" w:rsidRDefault="00C96A89" w:rsidP="00AD564C">
            <w:pPr>
              <w:jc w:val="both"/>
              <w:rPr>
                <w:sz w:val="22"/>
                <w:szCs w:val="22"/>
              </w:rPr>
            </w:pPr>
          </w:p>
        </w:tc>
        <w:tc>
          <w:tcPr>
            <w:tcW w:w="961" w:type="dxa"/>
          </w:tcPr>
          <w:p w14:paraId="6BECDC90" w14:textId="77777777" w:rsidR="00C96A89" w:rsidRDefault="00C96A89" w:rsidP="00AD564C">
            <w:pPr>
              <w:jc w:val="both"/>
              <w:rPr>
                <w:sz w:val="22"/>
                <w:szCs w:val="22"/>
              </w:rPr>
            </w:pPr>
          </w:p>
        </w:tc>
      </w:tr>
      <w:tr w:rsidR="00C96A89" w:rsidRPr="00491D0B" w14:paraId="7611100F" w14:textId="77777777" w:rsidTr="00AD564C">
        <w:tc>
          <w:tcPr>
            <w:tcW w:w="7285" w:type="dxa"/>
          </w:tcPr>
          <w:p w14:paraId="56A2E9FE" w14:textId="77777777" w:rsidR="00C96A89" w:rsidRDefault="00C96A89" w:rsidP="00C96A89">
            <w:pPr>
              <w:pStyle w:val="Listenabsatz"/>
              <w:numPr>
                <w:ilvl w:val="0"/>
                <w:numId w:val="34"/>
              </w:numPr>
              <w:jc w:val="both"/>
              <w:rPr>
                <w:sz w:val="22"/>
                <w:szCs w:val="22"/>
              </w:rPr>
            </w:pPr>
            <w:r>
              <w:rPr>
                <w:sz w:val="22"/>
                <w:szCs w:val="22"/>
              </w:rPr>
              <w:t>die im Zusammenhang mit dem Betriebsübergang beabsichtigten Maßnahmen</w:t>
            </w:r>
          </w:p>
        </w:tc>
        <w:tc>
          <w:tcPr>
            <w:tcW w:w="810" w:type="dxa"/>
          </w:tcPr>
          <w:p w14:paraId="42F7AA3D" w14:textId="77777777" w:rsidR="00C96A89" w:rsidRDefault="00C96A89" w:rsidP="00AD564C">
            <w:pPr>
              <w:jc w:val="both"/>
              <w:rPr>
                <w:sz w:val="22"/>
                <w:szCs w:val="22"/>
              </w:rPr>
            </w:pPr>
          </w:p>
        </w:tc>
        <w:tc>
          <w:tcPr>
            <w:tcW w:w="961" w:type="dxa"/>
          </w:tcPr>
          <w:p w14:paraId="324AAE64" w14:textId="77777777" w:rsidR="00C96A89" w:rsidRDefault="00C96A89" w:rsidP="00AD564C">
            <w:pPr>
              <w:jc w:val="both"/>
              <w:rPr>
                <w:sz w:val="22"/>
                <w:szCs w:val="22"/>
              </w:rPr>
            </w:pPr>
          </w:p>
        </w:tc>
      </w:tr>
      <w:tr w:rsidR="00C96A89" w14:paraId="383D1DEC" w14:textId="77777777" w:rsidTr="00AD564C">
        <w:tc>
          <w:tcPr>
            <w:tcW w:w="7285" w:type="dxa"/>
          </w:tcPr>
          <w:p w14:paraId="07A21892" w14:textId="77777777" w:rsidR="00C96A89" w:rsidRPr="009C7E47" w:rsidRDefault="00C96A89" w:rsidP="00AD564C">
            <w:pPr>
              <w:jc w:val="both"/>
              <w:rPr>
                <w:sz w:val="22"/>
                <w:szCs w:val="22"/>
              </w:rPr>
            </w:pPr>
            <w:r>
              <w:rPr>
                <w:sz w:val="22"/>
                <w:szCs w:val="22"/>
              </w:rPr>
              <w:t>informiert worden?</w:t>
            </w:r>
          </w:p>
        </w:tc>
        <w:tc>
          <w:tcPr>
            <w:tcW w:w="810" w:type="dxa"/>
          </w:tcPr>
          <w:p w14:paraId="70955C19" w14:textId="77777777" w:rsidR="00C96A89" w:rsidRDefault="00C96A89" w:rsidP="00AD564C">
            <w:pPr>
              <w:jc w:val="both"/>
              <w:rPr>
                <w:sz w:val="22"/>
                <w:szCs w:val="22"/>
              </w:rPr>
            </w:pPr>
          </w:p>
        </w:tc>
        <w:tc>
          <w:tcPr>
            <w:tcW w:w="961" w:type="dxa"/>
          </w:tcPr>
          <w:p w14:paraId="2CFB1ABA" w14:textId="77777777" w:rsidR="00C96A89" w:rsidRDefault="00C96A89" w:rsidP="00AD564C">
            <w:pPr>
              <w:jc w:val="both"/>
              <w:rPr>
                <w:sz w:val="22"/>
                <w:szCs w:val="22"/>
              </w:rPr>
            </w:pPr>
          </w:p>
        </w:tc>
      </w:tr>
    </w:tbl>
    <w:p w14:paraId="1BB1C419" w14:textId="77777777" w:rsidR="00C96A89" w:rsidRDefault="00C96A89" w:rsidP="00C96A89">
      <w:pPr>
        <w:jc w:val="both"/>
        <w:rPr>
          <w:sz w:val="22"/>
          <w:szCs w:val="22"/>
        </w:rPr>
      </w:pPr>
    </w:p>
    <w:p w14:paraId="0DBCB300" w14:textId="77777777" w:rsidR="00C96A89" w:rsidRDefault="00C96A89" w:rsidP="00C96A89">
      <w:pPr>
        <w:jc w:val="both"/>
        <w:rPr>
          <w:sz w:val="22"/>
          <w:szCs w:val="22"/>
        </w:rPr>
      </w:pPr>
      <w:r>
        <w:rPr>
          <w:sz w:val="22"/>
          <w:szCs w:val="22"/>
        </w:rPr>
        <w:t xml:space="preserve">Lautet die Antwort auch nur einmal „Nein“, führt dies dazu, dass die Frist für das Widerspruchsrecht erst mit der ordnungsgemäßen Information zu laufen beginnt. </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F98C4F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C029C9">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B6E3" w14:textId="77777777" w:rsidR="00D8107A" w:rsidRDefault="00D8107A" w:rsidP="00BF7674">
      <w:r>
        <w:separator/>
      </w:r>
    </w:p>
  </w:endnote>
  <w:endnote w:type="continuationSeparator" w:id="0">
    <w:p w14:paraId="10311B76" w14:textId="77777777" w:rsidR="00D8107A" w:rsidRDefault="00D8107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2788" w14:textId="77777777" w:rsidR="00D8107A" w:rsidRDefault="00D8107A" w:rsidP="00BF7674">
      <w:r>
        <w:separator/>
      </w:r>
    </w:p>
  </w:footnote>
  <w:footnote w:type="continuationSeparator" w:id="0">
    <w:p w14:paraId="1859CDFA" w14:textId="77777777" w:rsidR="00D8107A" w:rsidRDefault="00D8107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3"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9"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5"/>
  </w:num>
  <w:num w:numId="3">
    <w:abstractNumId w:val="10"/>
  </w:num>
  <w:num w:numId="4">
    <w:abstractNumId w:val="27"/>
  </w:num>
  <w:num w:numId="5">
    <w:abstractNumId w:val="13"/>
  </w:num>
  <w:num w:numId="6">
    <w:abstractNumId w:val="11"/>
  </w:num>
  <w:num w:numId="7">
    <w:abstractNumId w:val="24"/>
  </w:num>
  <w:num w:numId="8">
    <w:abstractNumId w:val="16"/>
  </w:num>
  <w:num w:numId="9">
    <w:abstractNumId w:val="1"/>
  </w:num>
  <w:num w:numId="10">
    <w:abstractNumId w:val="31"/>
  </w:num>
  <w:num w:numId="11">
    <w:abstractNumId w:val="19"/>
  </w:num>
  <w:num w:numId="12">
    <w:abstractNumId w:val="2"/>
  </w:num>
  <w:num w:numId="13">
    <w:abstractNumId w:val="22"/>
  </w:num>
  <w:num w:numId="14">
    <w:abstractNumId w:val="29"/>
  </w:num>
  <w:num w:numId="15">
    <w:abstractNumId w:val="5"/>
  </w:num>
  <w:num w:numId="16">
    <w:abstractNumId w:val="32"/>
  </w:num>
  <w:num w:numId="17">
    <w:abstractNumId w:val="20"/>
  </w:num>
  <w:num w:numId="18">
    <w:abstractNumId w:val="18"/>
  </w:num>
  <w:num w:numId="19">
    <w:abstractNumId w:val="15"/>
  </w:num>
  <w:num w:numId="20">
    <w:abstractNumId w:val="12"/>
  </w:num>
  <w:num w:numId="21">
    <w:abstractNumId w:val="4"/>
  </w:num>
  <w:num w:numId="22">
    <w:abstractNumId w:val="8"/>
  </w:num>
  <w:num w:numId="23">
    <w:abstractNumId w:val="9"/>
  </w:num>
  <w:num w:numId="24">
    <w:abstractNumId w:val="0"/>
  </w:num>
  <w:num w:numId="25">
    <w:abstractNumId w:val="17"/>
  </w:num>
  <w:num w:numId="26">
    <w:abstractNumId w:val="23"/>
  </w:num>
  <w:num w:numId="27">
    <w:abstractNumId w:val="14"/>
  </w:num>
  <w:num w:numId="28">
    <w:abstractNumId w:val="6"/>
  </w:num>
  <w:num w:numId="29">
    <w:abstractNumId w:val="3"/>
  </w:num>
  <w:num w:numId="30">
    <w:abstractNumId w:val="21"/>
  </w:num>
  <w:num w:numId="31">
    <w:abstractNumId w:val="30"/>
  </w:num>
  <w:num w:numId="32">
    <w:abstractNumId w:val="7"/>
  </w:num>
  <w:num w:numId="33">
    <w:abstractNumId w:val="33"/>
  </w:num>
  <w:num w:numId="3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7146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0333F"/>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231FA"/>
    <w:rsid w:val="00C23DE9"/>
    <w:rsid w:val="00C261C3"/>
    <w:rsid w:val="00C31E5F"/>
    <w:rsid w:val="00C56162"/>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07A"/>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00976"/>
    <w:rsid w:val="00F12170"/>
    <w:rsid w:val="00F1236E"/>
    <w:rsid w:val="00F24494"/>
    <w:rsid w:val="00F53ADD"/>
    <w:rsid w:val="00F61294"/>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2021-09-13T05:28:00Z</dcterms:created>
  <dcterms:modified xsi:type="dcterms:W3CDTF">2021-09-13T05:28:00Z</dcterms:modified>
</cp:coreProperties>
</file>