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5CE1" w14:textId="77777777" w:rsidR="00955944" w:rsidRPr="00CD5032" w:rsidRDefault="00955944" w:rsidP="00955944">
      <w:pPr>
        <w:pStyle w:val="PNLSubhead"/>
        <w:outlineLvl w:val="0"/>
      </w:pPr>
      <w:r>
        <w:t>Schnell-Check: In diesen Fällen sind 2 Tests pro Woche fällig</w:t>
      </w:r>
    </w:p>
    <w:tbl>
      <w:tblPr>
        <w:tblStyle w:val="Tabellenraster"/>
        <w:tblW w:w="0" w:type="auto"/>
        <w:tblLook w:val="04A0" w:firstRow="1" w:lastRow="0" w:firstColumn="1" w:lastColumn="0" w:noHBand="0" w:noVBand="1"/>
      </w:tblPr>
      <w:tblGrid>
        <w:gridCol w:w="7487"/>
        <w:gridCol w:w="838"/>
        <w:gridCol w:w="731"/>
      </w:tblGrid>
      <w:tr w:rsidR="00955944" w14:paraId="44AE9431" w14:textId="77777777" w:rsidTr="00020E79">
        <w:tc>
          <w:tcPr>
            <w:tcW w:w="7621" w:type="dxa"/>
          </w:tcPr>
          <w:p w14:paraId="0370CA1B" w14:textId="77777777" w:rsidR="00955944" w:rsidRDefault="00955944" w:rsidP="00020E79">
            <w:pPr>
              <w:widowControl w:val="0"/>
              <w:autoSpaceDE w:val="0"/>
              <w:autoSpaceDN w:val="0"/>
              <w:adjustRightInd w:val="0"/>
              <w:jc w:val="both"/>
              <w:rPr>
                <w:bCs/>
                <w:sz w:val="22"/>
                <w:szCs w:val="22"/>
              </w:rPr>
            </w:pPr>
          </w:p>
        </w:tc>
        <w:tc>
          <w:tcPr>
            <w:tcW w:w="851" w:type="dxa"/>
          </w:tcPr>
          <w:p w14:paraId="19062149" w14:textId="77777777" w:rsidR="00955944" w:rsidRDefault="00955944" w:rsidP="00020E79">
            <w:pPr>
              <w:widowControl w:val="0"/>
              <w:autoSpaceDE w:val="0"/>
              <w:autoSpaceDN w:val="0"/>
              <w:adjustRightInd w:val="0"/>
              <w:jc w:val="both"/>
              <w:rPr>
                <w:bCs/>
                <w:sz w:val="22"/>
                <w:szCs w:val="22"/>
              </w:rPr>
            </w:pPr>
            <w:r>
              <w:rPr>
                <w:bCs/>
                <w:sz w:val="22"/>
                <w:szCs w:val="22"/>
              </w:rPr>
              <w:t>Ja</w:t>
            </w:r>
          </w:p>
        </w:tc>
        <w:tc>
          <w:tcPr>
            <w:tcW w:w="734" w:type="dxa"/>
          </w:tcPr>
          <w:p w14:paraId="1B37BF32" w14:textId="77777777" w:rsidR="00955944" w:rsidRDefault="00955944" w:rsidP="00020E79">
            <w:pPr>
              <w:widowControl w:val="0"/>
              <w:autoSpaceDE w:val="0"/>
              <w:autoSpaceDN w:val="0"/>
              <w:adjustRightInd w:val="0"/>
              <w:jc w:val="both"/>
              <w:rPr>
                <w:bCs/>
                <w:sz w:val="22"/>
                <w:szCs w:val="22"/>
              </w:rPr>
            </w:pPr>
            <w:r>
              <w:rPr>
                <w:bCs/>
                <w:sz w:val="22"/>
                <w:szCs w:val="22"/>
              </w:rPr>
              <w:t>Nein</w:t>
            </w:r>
          </w:p>
        </w:tc>
      </w:tr>
      <w:tr w:rsidR="00955944" w14:paraId="0F677840" w14:textId="77777777" w:rsidTr="00020E79">
        <w:tc>
          <w:tcPr>
            <w:tcW w:w="7621" w:type="dxa"/>
          </w:tcPr>
          <w:p w14:paraId="7877EA06" w14:textId="77777777" w:rsidR="00955944" w:rsidRDefault="00955944" w:rsidP="00020E79">
            <w:pPr>
              <w:widowControl w:val="0"/>
              <w:autoSpaceDE w:val="0"/>
              <w:autoSpaceDN w:val="0"/>
              <w:adjustRightInd w:val="0"/>
              <w:jc w:val="both"/>
              <w:rPr>
                <w:bCs/>
                <w:sz w:val="22"/>
                <w:szCs w:val="22"/>
              </w:rPr>
            </w:pPr>
            <w:r>
              <w:rPr>
                <w:bCs/>
                <w:sz w:val="22"/>
                <w:szCs w:val="22"/>
              </w:rPr>
              <w:t>Sind Ihre Kolleginnen und Kollegen nach der Arbeit in Gemeinschaftsunterkünften untergebracht?</w:t>
            </w:r>
          </w:p>
        </w:tc>
        <w:tc>
          <w:tcPr>
            <w:tcW w:w="851" w:type="dxa"/>
          </w:tcPr>
          <w:p w14:paraId="2B59DA4C" w14:textId="77777777" w:rsidR="00955944" w:rsidRDefault="00955944" w:rsidP="00020E79">
            <w:pPr>
              <w:widowControl w:val="0"/>
              <w:autoSpaceDE w:val="0"/>
              <w:autoSpaceDN w:val="0"/>
              <w:adjustRightInd w:val="0"/>
              <w:jc w:val="both"/>
              <w:rPr>
                <w:bCs/>
                <w:sz w:val="22"/>
                <w:szCs w:val="22"/>
              </w:rPr>
            </w:pPr>
          </w:p>
        </w:tc>
        <w:tc>
          <w:tcPr>
            <w:tcW w:w="734" w:type="dxa"/>
          </w:tcPr>
          <w:p w14:paraId="311861AA" w14:textId="77777777" w:rsidR="00955944" w:rsidRDefault="00955944" w:rsidP="00020E79">
            <w:pPr>
              <w:widowControl w:val="0"/>
              <w:autoSpaceDE w:val="0"/>
              <w:autoSpaceDN w:val="0"/>
              <w:adjustRightInd w:val="0"/>
              <w:jc w:val="both"/>
              <w:rPr>
                <w:bCs/>
                <w:sz w:val="22"/>
                <w:szCs w:val="22"/>
              </w:rPr>
            </w:pPr>
          </w:p>
        </w:tc>
      </w:tr>
      <w:tr w:rsidR="00955944" w14:paraId="2C7D7FB0" w14:textId="77777777" w:rsidTr="00020E79">
        <w:tc>
          <w:tcPr>
            <w:tcW w:w="7621" w:type="dxa"/>
          </w:tcPr>
          <w:p w14:paraId="0F7CD94A" w14:textId="77777777" w:rsidR="00955944" w:rsidRDefault="00955944" w:rsidP="00020E79">
            <w:pPr>
              <w:widowControl w:val="0"/>
              <w:autoSpaceDE w:val="0"/>
              <w:autoSpaceDN w:val="0"/>
              <w:adjustRightInd w:val="0"/>
              <w:jc w:val="both"/>
              <w:rPr>
                <w:bCs/>
                <w:sz w:val="22"/>
                <w:szCs w:val="22"/>
              </w:rPr>
            </w:pPr>
            <w:r>
              <w:rPr>
                <w:bCs/>
                <w:sz w:val="22"/>
                <w:szCs w:val="22"/>
              </w:rPr>
              <w:t>Arbeiten Ihre Kolleginnen und Kollegen unter klimatischen Bedingungen in geschlossenen Räumen?</w:t>
            </w:r>
          </w:p>
        </w:tc>
        <w:tc>
          <w:tcPr>
            <w:tcW w:w="851" w:type="dxa"/>
          </w:tcPr>
          <w:p w14:paraId="43A89B8A" w14:textId="77777777" w:rsidR="00955944" w:rsidRDefault="00955944" w:rsidP="00020E79">
            <w:pPr>
              <w:widowControl w:val="0"/>
              <w:autoSpaceDE w:val="0"/>
              <w:autoSpaceDN w:val="0"/>
              <w:adjustRightInd w:val="0"/>
              <w:jc w:val="both"/>
              <w:rPr>
                <w:bCs/>
                <w:sz w:val="22"/>
                <w:szCs w:val="22"/>
              </w:rPr>
            </w:pPr>
          </w:p>
        </w:tc>
        <w:tc>
          <w:tcPr>
            <w:tcW w:w="734" w:type="dxa"/>
          </w:tcPr>
          <w:p w14:paraId="3663C4B1" w14:textId="77777777" w:rsidR="00955944" w:rsidRDefault="00955944" w:rsidP="00020E79">
            <w:pPr>
              <w:widowControl w:val="0"/>
              <w:autoSpaceDE w:val="0"/>
              <w:autoSpaceDN w:val="0"/>
              <w:adjustRightInd w:val="0"/>
              <w:jc w:val="both"/>
              <w:rPr>
                <w:bCs/>
                <w:sz w:val="22"/>
                <w:szCs w:val="22"/>
              </w:rPr>
            </w:pPr>
          </w:p>
        </w:tc>
      </w:tr>
      <w:tr w:rsidR="00955944" w14:paraId="5E6F105A" w14:textId="77777777" w:rsidTr="00020E79">
        <w:tc>
          <w:tcPr>
            <w:tcW w:w="7621" w:type="dxa"/>
          </w:tcPr>
          <w:p w14:paraId="65983E0E" w14:textId="77777777" w:rsidR="00955944" w:rsidRDefault="00955944" w:rsidP="00020E79">
            <w:pPr>
              <w:widowControl w:val="0"/>
              <w:autoSpaceDE w:val="0"/>
              <w:autoSpaceDN w:val="0"/>
              <w:adjustRightInd w:val="0"/>
              <w:jc w:val="both"/>
              <w:rPr>
                <w:bCs/>
                <w:sz w:val="22"/>
                <w:szCs w:val="22"/>
              </w:rPr>
            </w:pPr>
            <w:r>
              <w:rPr>
                <w:bCs/>
                <w:sz w:val="22"/>
                <w:szCs w:val="22"/>
              </w:rPr>
              <w:t xml:space="preserve">Erbringen Ihre Kolleginnen und Kollegen im Betrieb personennahe Dienstleistungen und ist das Tragen eines Mund-Nasen-Schutzes </w:t>
            </w:r>
            <w:proofErr w:type="gramStart"/>
            <w:r>
              <w:rPr>
                <w:bCs/>
                <w:sz w:val="22"/>
                <w:szCs w:val="22"/>
              </w:rPr>
              <w:t>von der anderen Person</w:t>
            </w:r>
            <w:proofErr w:type="gramEnd"/>
            <w:r>
              <w:rPr>
                <w:bCs/>
                <w:sz w:val="22"/>
                <w:szCs w:val="22"/>
              </w:rPr>
              <w:t xml:space="preserve"> nicht erforderlich?</w:t>
            </w:r>
          </w:p>
        </w:tc>
        <w:tc>
          <w:tcPr>
            <w:tcW w:w="851" w:type="dxa"/>
          </w:tcPr>
          <w:p w14:paraId="1C9184FE" w14:textId="77777777" w:rsidR="00955944" w:rsidRDefault="00955944" w:rsidP="00020E79">
            <w:pPr>
              <w:widowControl w:val="0"/>
              <w:autoSpaceDE w:val="0"/>
              <w:autoSpaceDN w:val="0"/>
              <w:adjustRightInd w:val="0"/>
              <w:jc w:val="both"/>
              <w:rPr>
                <w:bCs/>
                <w:sz w:val="22"/>
                <w:szCs w:val="22"/>
              </w:rPr>
            </w:pPr>
          </w:p>
        </w:tc>
        <w:tc>
          <w:tcPr>
            <w:tcW w:w="734" w:type="dxa"/>
          </w:tcPr>
          <w:p w14:paraId="15A7B8F3" w14:textId="77777777" w:rsidR="00955944" w:rsidRDefault="00955944" w:rsidP="00020E79">
            <w:pPr>
              <w:widowControl w:val="0"/>
              <w:autoSpaceDE w:val="0"/>
              <w:autoSpaceDN w:val="0"/>
              <w:adjustRightInd w:val="0"/>
              <w:jc w:val="both"/>
              <w:rPr>
                <w:bCs/>
                <w:sz w:val="22"/>
                <w:szCs w:val="22"/>
              </w:rPr>
            </w:pPr>
          </w:p>
        </w:tc>
      </w:tr>
      <w:tr w:rsidR="00955944" w14:paraId="3F764055" w14:textId="77777777" w:rsidTr="00020E79">
        <w:tc>
          <w:tcPr>
            <w:tcW w:w="7621" w:type="dxa"/>
          </w:tcPr>
          <w:p w14:paraId="65D330DF" w14:textId="77777777" w:rsidR="00955944" w:rsidRDefault="00955944" w:rsidP="00020E79">
            <w:pPr>
              <w:widowControl w:val="0"/>
              <w:autoSpaceDE w:val="0"/>
              <w:autoSpaceDN w:val="0"/>
              <w:adjustRightInd w:val="0"/>
              <w:jc w:val="both"/>
              <w:rPr>
                <w:bCs/>
                <w:sz w:val="22"/>
                <w:szCs w:val="22"/>
              </w:rPr>
            </w:pPr>
            <w:r>
              <w:rPr>
                <w:bCs/>
                <w:sz w:val="22"/>
                <w:szCs w:val="22"/>
              </w:rPr>
              <w:t>Haben Ihre Kolleginnen und Kollegen beruflich bedingt häufig wechselnde persönliche Kontakte?</w:t>
            </w:r>
          </w:p>
        </w:tc>
        <w:tc>
          <w:tcPr>
            <w:tcW w:w="851" w:type="dxa"/>
          </w:tcPr>
          <w:p w14:paraId="7206D597" w14:textId="77777777" w:rsidR="00955944" w:rsidRDefault="00955944" w:rsidP="00020E79">
            <w:pPr>
              <w:widowControl w:val="0"/>
              <w:autoSpaceDE w:val="0"/>
              <w:autoSpaceDN w:val="0"/>
              <w:adjustRightInd w:val="0"/>
              <w:jc w:val="both"/>
              <w:rPr>
                <w:bCs/>
                <w:sz w:val="22"/>
                <w:szCs w:val="22"/>
              </w:rPr>
            </w:pPr>
          </w:p>
        </w:tc>
        <w:tc>
          <w:tcPr>
            <w:tcW w:w="734" w:type="dxa"/>
          </w:tcPr>
          <w:p w14:paraId="0B3D085B" w14:textId="77777777" w:rsidR="00955944" w:rsidRDefault="00955944" w:rsidP="00020E79">
            <w:pPr>
              <w:widowControl w:val="0"/>
              <w:autoSpaceDE w:val="0"/>
              <w:autoSpaceDN w:val="0"/>
              <w:adjustRightInd w:val="0"/>
              <w:jc w:val="both"/>
              <w:rPr>
                <w:bCs/>
                <w:sz w:val="22"/>
                <w:szCs w:val="22"/>
              </w:rPr>
            </w:pPr>
          </w:p>
        </w:tc>
      </w:tr>
    </w:tbl>
    <w:p w14:paraId="368EDC57" w14:textId="77777777" w:rsidR="00955944" w:rsidRDefault="00955944" w:rsidP="00955944">
      <w:pPr>
        <w:widowControl w:val="0"/>
        <w:autoSpaceDE w:val="0"/>
        <w:autoSpaceDN w:val="0"/>
        <w:adjustRightInd w:val="0"/>
        <w:jc w:val="both"/>
        <w:rPr>
          <w:bCs/>
          <w:sz w:val="22"/>
          <w:szCs w:val="22"/>
        </w:rPr>
      </w:pPr>
    </w:p>
    <w:p w14:paraId="21A7B8D1" w14:textId="77777777" w:rsidR="00955944" w:rsidRDefault="00955944" w:rsidP="00955944">
      <w:pPr>
        <w:widowControl w:val="0"/>
        <w:autoSpaceDE w:val="0"/>
        <w:autoSpaceDN w:val="0"/>
        <w:adjustRightInd w:val="0"/>
        <w:jc w:val="both"/>
        <w:rPr>
          <w:bCs/>
          <w:sz w:val="22"/>
          <w:szCs w:val="22"/>
        </w:rPr>
      </w:pPr>
      <w:r>
        <w:rPr>
          <w:bCs/>
          <w:sz w:val="22"/>
          <w:szCs w:val="22"/>
        </w:rPr>
        <w:t>Ein einziges „Ja“ reicht schon aus – und Ihr Arbeitgeber muss den betreffenden Kolleginnen und Kollegen mindestens zweimal pro Woche einen kostenlosen Schnell-Test anbieten.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2D542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6358A7">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FF30" w14:textId="77777777" w:rsidR="00395EA6" w:rsidRDefault="00395EA6" w:rsidP="00BF7674">
      <w:r>
        <w:separator/>
      </w:r>
    </w:p>
  </w:endnote>
  <w:endnote w:type="continuationSeparator" w:id="0">
    <w:p w14:paraId="0477E9B7" w14:textId="77777777" w:rsidR="00395EA6" w:rsidRDefault="00395EA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17C4" w14:textId="77777777" w:rsidR="00395EA6" w:rsidRDefault="00395EA6" w:rsidP="00BF7674">
      <w:r>
        <w:separator/>
      </w:r>
    </w:p>
  </w:footnote>
  <w:footnote w:type="continuationSeparator" w:id="0">
    <w:p w14:paraId="700CB702" w14:textId="77777777" w:rsidR="00395EA6" w:rsidRDefault="00395EA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5"/>
  </w:num>
  <w:num w:numId="8">
    <w:abstractNumId w:val="4"/>
  </w:num>
  <w:num w:numId="9">
    <w:abstractNumId w:val="0"/>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95EA6"/>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2021-05-10T07:04:00Z</dcterms:created>
  <dcterms:modified xsi:type="dcterms:W3CDTF">2021-05-10T07:04:00Z</dcterms:modified>
</cp:coreProperties>
</file>