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CA830" w14:textId="77777777" w:rsidR="003D6DD2" w:rsidRPr="00647991" w:rsidRDefault="003D6DD2" w:rsidP="003D6DD2">
      <w:pPr>
        <w:pStyle w:val="PNLSubhead"/>
        <w:outlineLvl w:val="0"/>
      </w:pPr>
      <w:r w:rsidRPr="00647991">
        <w:t>Übersicht: In diesen Fällen gibt’s keinen Sonderkündigungsschutz</w:t>
      </w:r>
    </w:p>
    <w:p w14:paraId="190CFFDF" w14:textId="77777777" w:rsidR="003D6DD2" w:rsidRPr="00647991" w:rsidRDefault="003D6DD2" w:rsidP="003D6DD2">
      <w:pPr>
        <w:jc w:val="both"/>
        <w:rPr>
          <w:lang w:eastAsia="de-DE"/>
        </w:rPr>
      </w:pPr>
    </w:p>
    <w:p w14:paraId="22C0DDF6" w14:textId="77777777" w:rsidR="003D6DD2" w:rsidRPr="00647991" w:rsidRDefault="003D6DD2" w:rsidP="003D6DD2">
      <w:pPr>
        <w:ind w:left="4956"/>
        <w:jc w:val="both"/>
      </w:pPr>
      <w:r w:rsidRPr="00647991">
        <w:rPr>
          <w:noProof/>
          <w:lang w:eastAsia="de-DE"/>
        </w:rPr>
        <mc:AlternateContent>
          <mc:Choice Requires="wps">
            <w:drawing>
              <wp:anchor distT="0" distB="0" distL="114300" distR="114300" simplePos="0" relativeHeight="251659264" behindDoc="0" locked="0" layoutInCell="1" allowOverlap="1" wp14:anchorId="37E92F80" wp14:editId="07D0108E">
                <wp:simplePos x="0" y="0"/>
                <wp:positionH relativeFrom="column">
                  <wp:posOffset>2039348</wp:posOffset>
                </wp:positionH>
                <wp:positionV relativeFrom="paragraph">
                  <wp:posOffset>223223</wp:posOffset>
                </wp:positionV>
                <wp:extent cx="1027215" cy="1276152"/>
                <wp:effectExtent l="0" t="38100" r="59055" b="19685"/>
                <wp:wrapNone/>
                <wp:docPr id="17" name="Gerade Verbindung mit Pfeil 17"/>
                <wp:cNvGraphicFramePr/>
                <a:graphic xmlns:a="http://schemas.openxmlformats.org/drawingml/2006/main">
                  <a:graphicData uri="http://schemas.microsoft.com/office/word/2010/wordprocessingShape">
                    <wps:wsp>
                      <wps:cNvCnPr/>
                      <wps:spPr>
                        <a:xfrm flipV="1">
                          <a:off x="0" y="0"/>
                          <a:ext cx="1027215" cy="1276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348A3A" id="_x0000_t32" coordsize="21600,21600" o:spt="32" o:oned="t" path="m,l21600,21600e" filled="f">
                <v:path arrowok="t" fillok="f" o:connecttype="none"/>
                <o:lock v:ext="edit" shapetype="t"/>
              </v:shapetype>
              <v:shape id="Gerade Verbindung mit Pfeil 17" o:spid="_x0000_s1026" type="#_x0000_t32" style="position:absolute;margin-left:160.6pt;margin-top:17.6pt;width:80.9pt;height:10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" strokecolor="#4472c4 [3204]" strokeweight=".5pt">
                <v:stroke endarrow="open" joinstyle="miter"/>
              </v:shape>
            </w:pict>
          </mc:Fallback>
        </mc:AlternateContent>
      </w:r>
      <w:r w:rsidRPr="00647991">
        <w:t xml:space="preserve">Das Arbeitsverhältnis bei Zugang der Kündigung noch nicht länger als 6 Monate besteht. </w:t>
      </w:r>
    </w:p>
    <w:p w14:paraId="5C0FF8F0" w14:textId="77777777" w:rsidR="003D6DD2" w:rsidRPr="00647991" w:rsidRDefault="003D6DD2" w:rsidP="003D6DD2">
      <w:pPr>
        <w:jc w:val="both"/>
        <w:rPr>
          <w:lang w:eastAsia="de-DE"/>
        </w:rPr>
      </w:pPr>
    </w:p>
    <w:p w14:paraId="6BCDEF78" w14:textId="77777777" w:rsidR="003D6DD2" w:rsidRPr="00647991" w:rsidRDefault="003D6DD2" w:rsidP="003D6DD2">
      <w:pPr>
        <w:ind w:left="4956"/>
        <w:jc w:val="both"/>
      </w:pPr>
      <w:r w:rsidRPr="00647991">
        <w:rPr>
          <w:noProof/>
          <w:lang w:eastAsia="de-DE"/>
        </w:rPr>
        <mc:AlternateContent>
          <mc:Choice Requires="wps">
            <w:drawing>
              <wp:anchor distT="0" distB="0" distL="114300" distR="114300" simplePos="0" relativeHeight="251660288" behindDoc="0" locked="0" layoutInCell="1" allowOverlap="1" wp14:anchorId="5417BCE6" wp14:editId="2DB6AEEE">
                <wp:simplePos x="0" y="0"/>
                <wp:positionH relativeFrom="column">
                  <wp:posOffset>2039348</wp:posOffset>
                </wp:positionH>
                <wp:positionV relativeFrom="paragraph">
                  <wp:posOffset>317830</wp:posOffset>
                </wp:positionV>
                <wp:extent cx="1026795" cy="480068"/>
                <wp:effectExtent l="0" t="38100" r="59055" b="34290"/>
                <wp:wrapNone/>
                <wp:docPr id="18" name="Gerade Verbindung mit Pfeil 18"/>
                <wp:cNvGraphicFramePr/>
                <a:graphic xmlns:a="http://schemas.openxmlformats.org/drawingml/2006/main">
                  <a:graphicData uri="http://schemas.microsoft.com/office/word/2010/wordprocessingShape">
                    <wps:wsp>
                      <wps:cNvCnPr/>
                      <wps:spPr>
                        <a:xfrm flipV="1">
                          <a:off x="0" y="0"/>
                          <a:ext cx="1026795" cy="4800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E12F1" id="Gerade Verbindung mit Pfeil 18" o:spid="_x0000_s1026" type="#_x0000_t32" style="position:absolute;margin-left:160.6pt;margin-top:25.05pt;width:80.85pt;height:37.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" strokecolor="#4472c4 [3204]" strokeweight=".5pt">
                <v:stroke endarrow="open" joinstyle="miter"/>
              </v:shape>
            </w:pict>
          </mc:Fallback>
        </mc:AlternateContent>
      </w:r>
      <w:r w:rsidRPr="00647991">
        <w:t xml:space="preserve">Die Kollegin oder der Kollege hat seine Anerkennung als Schwerbehinderter oder seine Gleichstellung weniger als 3 Wochen vor der Kündigung beantragt. </w:t>
      </w:r>
    </w:p>
    <w:p w14:paraId="5668B817" w14:textId="77777777" w:rsidR="003D6DD2" w:rsidRPr="00647991" w:rsidRDefault="003D6DD2" w:rsidP="003D6DD2">
      <w:pPr>
        <w:jc w:val="both"/>
        <w:rPr>
          <w:lang w:eastAsia="de-DE"/>
        </w:rPr>
      </w:pPr>
      <w:r w:rsidRPr="00647991">
        <w:rPr>
          <w:noProof/>
          <w:lang w:eastAsia="de-DE"/>
        </w:rPr>
        <mc:AlternateContent>
          <mc:Choice Requires="wps">
            <w:drawing>
              <wp:anchor distT="0" distB="0" distL="114300" distR="114300" simplePos="0" relativeHeight="251664384" behindDoc="0" locked="0" layoutInCell="1" allowOverlap="1" wp14:anchorId="54619F1A" wp14:editId="40217C97">
                <wp:simplePos x="0" y="0"/>
                <wp:positionH relativeFrom="column">
                  <wp:posOffset>2039348</wp:posOffset>
                </wp:positionH>
                <wp:positionV relativeFrom="paragraph">
                  <wp:posOffset>94368</wp:posOffset>
                </wp:positionV>
                <wp:extent cx="955675" cy="2660072"/>
                <wp:effectExtent l="0" t="0" r="53975" b="64135"/>
                <wp:wrapNone/>
                <wp:docPr id="19" name="Gerade Verbindung mit Pfeil 19"/>
                <wp:cNvGraphicFramePr/>
                <a:graphic xmlns:a="http://schemas.openxmlformats.org/drawingml/2006/main">
                  <a:graphicData uri="http://schemas.microsoft.com/office/word/2010/wordprocessingShape">
                    <wps:wsp>
                      <wps:cNvCnPr/>
                      <wps:spPr>
                        <a:xfrm>
                          <a:off x="0" y="0"/>
                          <a:ext cx="955675" cy="26600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75A0E" id="Gerade Verbindung mit Pfeil 19" o:spid="_x0000_s1026" type="#_x0000_t32" style="position:absolute;margin-left:160.6pt;margin-top:7.45pt;width:75.25pt;height:20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" strokecolor="#4472c4 [3204]" strokeweight=".5pt">
                <v:stroke endarrow="open" joinstyle="miter"/>
              </v:shape>
            </w:pict>
          </mc:Fallback>
        </mc:AlternateContent>
      </w:r>
      <w:r w:rsidRPr="00647991">
        <w:rPr>
          <w:noProof/>
          <w:lang w:eastAsia="de-DE"/>
        </w:rPr>
        <mc:AlternateContent>
          <mc:Choice Requires="wps">
            <w:drawing>
              <wp:anchor distT="0" distB="0" distL="114300" distR="114300" simplePos="0" relativeHeight="251663360" behindDoc="0" locked="0" layoutInCell="1" allowOverlap="1" wp14:anchorId="5FB58605" wp14:editId="51E34D80">
                <wp:simplePos x="0" y="0"/>
                <wp:positionH relativeFrom="column">
                  <wp:posOffset>2039348</wp:posOffset>
                </wp:positionH>
                <wp:positionV relativeFrom="paragraph">
                  <wp:posOffset>94368</wp:posOffset>
                </wp:positionV>
                <wp:extent cx="1026795" cy="2226310"/>
                <wp:effectExtent l="0" t="0" r="59055" b="59690"/>
                <wp:wrapNone/>
                <wp:docPr id="20" name="Gerade Verbindung mit Pfeil 20"/>
                <wp:cNvGraphicFramePr/>
                <a:graphic xmlns:a="http://schemas.openxmlformats.org/drawingml/2006/main">
                  <a:graphicData uri="http://schemas.microsoft.com/office/word/2010/wordprocessingShape">
                    <wps:wsp>
                      <wps:cNvCnPr/>
                      <wps:spPr>
                        <a:xfrm>
                          <a:off x="0" y="0"/>
                          <a:ext cx="1026795" cy="2226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25116" id="Gerade Verbindung mit Pfeil 20" o:spid="_x0000_s1026" type="#_x0000_t32" style="position:absolute;margin-left:160.6pt;margin-top:7.45pt;width:80.85pt;height:1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" strokecolor="#4472c4 [3204]" strokeweight=".5pt">
                <v:stroke endarrow="open" joinstyle="miter"/>
              </v:shape>
            </w:pict>
          </mc:Fallback>
        </mc:AlternateContent>
      </w:r>
      <w:r w:rsidRPr="00647991">
        <w:rPr>
          <w:noProof/>
          <w:lang w:eastAsia="de-DE"/>
        </w:rPr>
        <mc:AlternateContent>
          <mc:Choice Requires="wps">
            <w:drawing>
              <wp:anchor distT="0" distB="0" distL="114300" distR="114300" simplePos="0" relativeHeight="251662336" behindDoc="0" locked="0" layoutInCell="1" allowOverlap="1" wp14:anchorId="1820FF9E" wp14:editId="44FB1B40">
                <wp:simplePos x="0" y="0"/>
                <wp:positionH relativeFrom="column">
                  <wp:posOffset>2039348</wp:posOffset>
                </wp:positionH>
                <wp:positionV relativeFrom="paragraph">
                  <wp:posOffset>94368</wp:posOffset>
                </wp:positionV>
                <wp:extent cx="1026795" cy="1585355"/>
                <wp:effectExtent l="0" t="0" r="78105" b="53340"/>
                <wp:wrapNone/>
                <wp:docPr id="21" name="Gerade Verbindung mit Pfeil 21"/>
                <wp:cNvGraphicFramePr/>
                <a:graphic xmlns:a="http://schemas.openxmlformats.org/drawingml/2006/main">
                  <a:graphicData uri="http://schemas.microsoft.com/office/word/2010/wordprocessingShape">
                    <wps:wsp>
                      <wps:cNvCnPr/>
                      <wps:spPr>
                        <a:xfrm>
                          <a:off x="0" y="0"/>
                          <a:ext cx="1026795" cy="15853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1382E" id="Gerade Verbindung mit Pfeil 21" o:spid="_x0000_s1026" type="#_x0000_t32" style="position:absolute;margin-left:160.6pt;margin-top:7.45pt;width:80.85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" strokecolor="#4472c4 [3204]" strokeweight=".5pt">
                <v:stroke endarrow="open" joinstyle="miter"/>
              </v:shape>
            </w:pict>
          </mc:Fallback>
        </mc:AlternateContent>
      </w:r>
      <w:r w:rsidRPr="00647991">
        <w:rPr>
          <w:noProof/>
          <w:lang w:eastAsia="de-DE"/>
        </w:rPr>
        <mc:AlternateContent>
          <mc:Choice Requires="wps">
            <w:drawing>
              <wp:anchor distT="0" distB="0" distL="114300" distR="114300" simplePos="0" relativeHeight="251661312" behindDoc="0" locked="0" layoutInCell="1" allowOverlap="1" wp14:anchorId="705151B2" wp14:editId="7AB805A2">
                <wp:simplePos x="0" y="0"/>
                <wp:positionH relativeFrom="column">
                  <wp:posOffset>2039348</wp:posOffset>
                </wp:positionH>
                <wp:positionV relativeFrom="paragraph">
                  <wp:posOffset>97741</wp:posOffset>
                </wp:positionV>
                <wp:extent cx="955675" cy="380010"/>
                <wp:effectExtent l="0" t="0" r="34925" b="77470"/>
                <wp:wrapNone/>
                <wp:docPr id="22" name="Gerade Verbindung mit Pfeil 22"/>
                <wp:cNvGraphicFramePr/>
                <a:graphic xmlns:a="http://schemas.openxmlformats.org/drawingml/2006/main">
                  <a:graphicData uri="http://schemas.microsoft.com/office/word/2010/wordprocessingShape">
                    <wps:wsp>
                      <wps:cNvCnPr/>
                      <wps:spPr>
                        <a:xfrm>
                          <a:off x="0" y="0"/>
                          <a:ext cx="955675" cy="380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BD34E" id="Gerade Verbindung mit Pfeil 22" o:spid="_x0000_s1026" type="#_x0000_t32" style="position:absolute;margin-left:160.6pt;margin-top:7.7pt;width:75.2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" strokecolor="#4472c4 [3204]" strokeweight=".5pt">
                <v:stroke endarrow="open" joinstyle="miter"/>
              </v:shape>
            </w:pict>
          </mc:Fallback>
        </mc:AlternateContent>
      </w:r>
    </w:p>
    <w:p w14:paraId="0A6B40F8" w14:textId="77777777" w:rsidR="003D6DD2" w:rsidRPr="00647991" w:rsidRDefault="003D6DD2" w:rsidP="003D6DD2">
      <w:pPr>
        <w:jc w:val="both"/>
      </w:pPr>
      <w:r w:rsidRPr="00647991">
        <w:t xml:space="preserve">Kein Sonderkündigungsschutz, </w:t>
      </w:r>
    </w:p>
    <w:p w14:paraId="4FA8322D" w14:textId="77777777" w:rsidR="003D6DD2" w:rsidRPr="00647991" w:rsidRDefault="003D6DD2" w:rsidP="003D6DD2">
      <w:pPr>
        <w:ind w:left="4956" w:hanging="4950"/>
        <w:jc w:val="both"/>
      </w:pPr>
      <w:r w:rsidRPr="00B578F1">
        <w:t>wenn …</w:t>
      </w:r>
      <w:r w:rsidRPr="00B578F1">
        <w:tab/>
      </w:r>
      <w:r w:rsidRPr="00E55AF5">
        <w:t>Der Schwerbehinderte hat das 58. Lebensja</w:t>
      </w:r>
      <w:r w:rsidRPr="00647991">
        <w:t xml:space="preserve">hr vollendet, einem Anspruch auf Abfindung oder Entschädigung auf Grund eines Sozialplans und der Kündigungsabsicht des Arbeitgebers nicht widersprochen. </w:t>
      </w:r>
    </w:p>
    <w:p w14:paraId="0299B826" w14:textId="77777777" w:rsidR="003D6DD2" w:rsidRPr="00647991" w:rsidRDefault="003D6DD2" w:rsidP="003D6DD2">
      <w:pPr>
        <w:jc w:val="both"/>
        <w:rPr>
          <w:lang w:eastAsia="de-DE"/>
        </w:rPr>
      </w:pPr>
    </w:p>
    <w:p w14:paraId="5E3A4E70" w14:textId="77777777" w:rsidR="003D6DD2" w:rsidRPr="00647991" w:rsidRDefault="003D6DD2" w:rsidP="003D6DD2">
      <w:pPr>
        <w:ind w:left="4956"/>
        <w:jc w:val="both"/>
        <w:rPr>
          <w:lang w:eastAsia="de-DE"/>
        </w:rPr>
      </w:pPr>
      <w:r w:rsidRPr="00647991">
        <w:rPr>
          <w:lang w:eastAsia="de-DE"/>
        </w:rPr>
        <w:t>Die Befristung seines Arbeitsvertrags abgelaufen ist.</w:t>
      </w:r>
    </w:p>
    <w:p w14:paraId="7DE00736" w14:textId="77777777" w:rsidR="003D6DD2" w:rsidRPr="00647991" w:rsidRDefault="003D6DD2" w:rsidP="003D6DD2">
      <w:pPr>
        <w:jc w:val="both"/>
        <w:rPr>
          <w:lang w:eastAsia="de-DE"/>
        </w:rPr>
      </w:pPr>
    </w:p>
    <w:p w14:paraId="1681A25F" w14:textId="77777777" w:rsidR="003D6DD2" w:rsidRPr="00647991" w:rsidRDefault="003D6DD2" w:rsidP="003D6DD2">
      <w:pPr>
        <w:ind w:left="4950"/>
        <w:jc w:val="both"/>
        <w:rPr>
          <w:lang w:eastAsia="de-DE"/>
        </w:rPr>
      </w:pPr>
      <w:r w:rsidRPr="00647991">
        <w:rPr>
          <w:lang w:eastAsia="de-DE"/>
        </w:rPr>
        <w:t>Der Arbeitsvertrag wirksam wegen arglistiger Täuschung angefochten wurde.</w:t>
      </w:r>
    </w:p>
    <w:p w14:paraId="063EE4D1" w14:textId="77777777" w:rsidR="003D6DD2" w:rsidRPr="00647991" w:rsidRDefault="003D6DD2" w:rsidP="003D6DD2">
      <w:pPr>
        <w:ind w:left="4950"/>
        <w:jc w:val="both"/>
        <w:rPr>
          <w:lang w:eastAsia="de-DE"/>
        </w:rPr>
      </w:pPr>
    </w:p>
    <w:p w14:paraId="35DCD249" w14:textId="77777777" w:rsidR="003D6DD2" w:rsidRPr="00647991" w:rsidRDefault="003D6DD2" w:rsidP="003D6DD2">
      <w:pPr>
        <w:ind w:left="4950"/>
        <w:jc w:val="both"/>
        <w:rPr>
          <w:lang w:eastAsia="de-DE"/>
        </w:rPr>
      </w:pPr>
      <w:r w:rsidRPr="00647991">
        <w:rPr>
          <w:lang w:eastAsia="de-DE"/>
        </w:rPr>
        <w:t>Der Arbeitgeber sich zu Recht auf die Nichtigkeit des Arbeitsvertrags berufen hat.</w:t>
      </w:r>
    </w:p>
    <w:p w14:paraId="737C025F" w14:textId="77777777" w:rsidR="003D6DD2" w:rsidRPr="00647991" w:rsidRDefault="003D6DD2" w:rsidP="003D6DD2">
      <w:pPr>
        <w:jc w:val="both"/>
        <w:rPr>
          <w:lang w:eastAsia="de-DE"/>
        </w:rPr>
      </w:pPr>
    </w:p>
    <w:p w14:paraId="7773FE21" w14:textId="77777777" w:rsidR="003D6DD2" w:rsidRPr="00647991" w:rsidRDefault="003D6DD2" w:rsidP="003D6DD2">
      <w:pPr>
        <w:jc w:val="both"/>
        <w:rPr>
          <w:lang w:eastAsia="de-DE"/>
        </w:rPr>
      </w:pPr>
      <w:r w:rsidRPr="00647991">
        <w:rPr>
          <w:lang w:eastAsia="de-DE"/>
        </w:rPr>
        <w:t xml:space="preserve">Bei der außerordentlichen fristlosen Kündigung muss der Antrag des Arbeitgebers innerhalb von 2 Wochen ab Kenntnis der Kündigungsgründe beim Integrationsamt eingegangen sein (§ 91 SGB IX). Entscheidet die Behörde nicht innerhalb von 2 Wochen, gilt die Zustimmung als erteilt. </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79EC3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17E3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B2745" w14:textId="77777777" w:rsidR="00E062BF" w:rsidRDefault="00E062BF" w:rsidP="00BF7674">
      <w:r>
        <w:separator/>
      </w:r>
    </w:p>
  </w:endnote>
  <w:endnote w:type="continuationSeparator" w:id="0">
    <w:p w14:paraId="471B1F26" w14:textId="77777777" w:rsidR="00E062BF" w:rsidRDefault="00E062B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F006" w14:textId="77777777" w:rsidR="00E062BF" w:rsidRDefault="00E062BF" w:rsidP="00BF7674">
      <w:r>
        <w:separator/>
      </w:r>
    </w:p>
  </w:footnote>
  <w:footnote w:type="continuationSeparator" w:id="0">
    <w:p w14:paraId="558E127D" w14:textId="77777777" w:rsidR="00E062BF" w:rsidRDefault="00E062B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17E3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062BF"/>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2021-04-07T08:23:00Z</dcterms:created>
  <dcterms:modified xsi:type="dcterms:W3CDTF">2021-04-07T08:23:00Z</dcterms:modified>
</cp:coreProperties>
</file>