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0506" w14:textId="296D5CAD" w:rsidR="00500D02" w:rsidRDefault="00500D02" w:rsidP="00500D02">
      <w:pPr>
        <w:suppressAutoHyphens/>
        <w:jc w:val="both"/>
        <w:rPr>
          <w:rFonts w:eastAsia="Times New Roman"/>
          <w:b/>
          <w:color w:val="4472C4" w:themeColor="accent1"/>
          <w:sz w:val="28"/>
          <w:szCs w:val="28"/>
        </w:rPr>
      </w:pPr>
      <w:r w:rsidRPr="00500D02">
        <w:rPr>
          <w:rFonts w:eastAsia="Times New Roman"/>
          <w:b/>
          <w:color w:val="4472C4" w:themeColor="accent1"/>
          <w:sz w:val="28"/>
          <w:szCs w:val="28"/>
        </w:rPr>
        <w:t>Schnell-Check: Wann Rufbereitschaft bezahlt werden muss</w:t>
      </w:r>
    </w:p>
    <w:p w14:paraId="63891936" w14:textId="1D990795" w:rsidR="00500D02" w:rsidRDefault="00500D02" w:rsidP="00500D02">
      <w:pPr>
        <w:suppressAutoHyphens/>
        <w:jc w:val="both"/>
        <w:rPr>
          <w:rFonts w:eastAsia="Times New Roman"/>
          <w:b/>
          <w:color w:val="4472C4" w:themeColor="accent1"/>
          <w:sz w:val="28"/>
          <w:szCs w:val="28"/>
        </w:rPr>
      </w:pPr>
    </w:p>
    <w:p w14:paraId="12C4A63D" w14:textId="77777777" w:rsidR="00500D02" w:rsidRPr="00500D02" w:rsidRDefault="00500D02" w:rsidP="00500D02">
      <w:pPr>
        <w:suppressAutoHyphens/>
        <w:jc w:val="both"/>
        <w:rPr>
          <w:rFonts w:eastAsia="Times New Roman"/>
          <w:b/>
          <w:color w:val="4472C4" w:themeColor="accent1"/>
          <w:sz w:val="40"/>
          <w:szCs w:val="40"/>
        </w:rPr>
      </w:pPr>
    </w:p>
    <w:tbl>
      <w:tblPr>
        <w:tblStyle w:val="Tabellenraster"/>
        <w:tblW w:w="3618" w:type="dxa"/>
        <w:tblLook w:val="04A0" w:firstRow="1" w:lastRow="0" w:firstColumn="1" w:lastColumn="0" w:noHBand="0" w:noVBand="1"/>
      </w:tblPr>
      <w:tblGrid>
        <w:gridCol w:w="2260"/>
        <w:gridCol w:w="582"/>
        <w:gridCol w:w="776"/>
      </w:tblGrid>
      <w:tr w:rsidR="00500D02" w:rsidRPr="00500D02" w14:paraId="7AB43CC0" w14:textId="77777777" w:rsidTr="00592D95">
        <w:tc>
          <w:tcPr>
            <w:tcW w:w="2074" w:type="dxa"/>
          </w:tcPr>
          <w:p w14:paraId="3E079285" w14:textId="77777777" w:rsidR="00500D02" w:rsidRPr="00500D02" w:rsidRDefault="00500D02" w:rsidP="00592D95">
            <w:pPr>
              <w:suppressAutoHyphens/>
              <w:jc w:val="both"/>
              <w:rPr>
                <w:rFonts w:eastAsia="Times New Roman"/>
                <w:b/>
              </w:rPr>
            </w:pPr>
            <w:r w:rsidRPr="00500D02">
              <w:rPr>
                <w:rFonts w:eastAsia="Times New Roman"/>
                <w:b/>
              </w:rPr>
              <w:t>Prüfpunkte</w:t>
            </w:r>
          </w:p>
        </w:tc>
        <w:tc>
          <w:tcPr>
            <w:tcW w:w="702" w:type="dxa"/>
          </w:tcPr>
          <w:p w14:paraId="438CBBE7" w14:textId="77777777" w:rsidR="00500D02" w:rsidRPr="00500D02" w:rsidRDefault="00500D02" w:rsidP="00592D95">
            <w:pPr>
              <w:suppressAutoHyphens/>
              <w:jc w:val="both"/>
              <w:rPr>
                <w:rFonts w:eastAsia="Times New Roman"/>
                <w:b/>
              </w:rPr>
            </w:pPr>
            <w:r w:rsidRPr="00500D02">
              <w:rPr>
                <w:rFonts w:eastAsia="Times New Roman"/>
                <w:b/>
              </w:rPr>
              <w:t>Ja</w:t>
            </w:r>
          </w:p>
        </w:tc>
        <w:tc>
          <w:tcPr>
            <w:tcW w:w="842" w:type="dxa"/>
          </w:tcPr>
          <w:p w14:paraId="0911609E" w14:textId="77777777" w:rsidR="00500D02" w:rsidRPr="00500D02" w:rsidRDefault="00500D02" w:rsidP="00592D95">
            <w:pPr>
              <w:suppressAutoHyphens/>
              <w:jc w:val="both"/>
              <w:rPr>
                <w:rFonts w:eastAsia="Times New Roman"/>
                <w:b/>
              </w:rPr>
            </w:pPr>
            <w:r w:rsidRPr="00500D02">
              <w:rPr>
                <w:rFonts w:eastAsia="Times New Roman"/>
                <w:b/>
              </w:rPr>
              <w:t>Nein</w:t>
            </w:r>
          </w:p>
        </w:tc>
      </w:tr>
      <w:tr w:rsidR="00500D02" w:rsidRPr="00500D02" w14:paraId="61526A0A" w14:textId="77777777" w:rsidTr="00592D95">
        <w:tc>
          <w:tcPr>
            <w:tcW w:w="2074" w:type="dxa"/>
          </w:tcPr>
          <w:p w14:paraId="6F8B8A28" w14:textId="77777777" w:rsidR="00500D02" w:rsidRPr="00500D02" w:rsidRDefault="00500D02" w:rsidP="00592D95">
            <w:pPr>
              <w:suppressAutoHyphens/>
              <w:jc w:val="both"/>
              <w:rPr>
                <w:rFonts w:eastAsia="Times New Roman"/>
              </w:rPr>
            </w:pPr>
            <w:r w:rsidRPr="00500D02">
              <w:rPr>
                <w:rFonts w:eastAsia="Times New Roman"/>
              </w:rPr>
              <w:t>Ihre Kollegin Bzw. Ihr Kollege…</w:t>
            </w:r>
          </w:p>
        </w:tc>
        <w:tc>
          <w:tcPr>
            <w:tcW w:w="702" w:type="dxa"/>
          </w:tcPr>
          <w:p w14:paraId="57401CD6" w14:textId="77777777" w:rsidR="00500D02" w:rsidRPr="00500D02" w:rsidRDefault="00500D02" w:rsidP="00592D95">
            <w:pPr>
              <w:suppressAutoHyphens/>
              <w:jc w:val="both"/>
              <w:rPr>
                <w:rFonts w:eastAsia="Times New Roman"/>
              </w:rPr>
            </w:pPr>
          </w:p>
        </w:tc>
        <w:tc>
          <w:tcPr>
            <w:tcW w:w="842" w:type="dxa"/>
          </w:tcPr>
          <w:p w14:paraId="519F24C5" w14:textId="77777777" w:rsidR="00500D02" w:rsidRPr="00500D02" w:rsidRDefault="00500D02" w:rsidP="00592D95">
            <w:pPr>
              <w:suppressAutoHyphens/>
              <w:jc w:val="both"/>
              <w:rPr>
                <w:rFonts w:eastAsia="Times New Roman"/>
              </w:rPr>
            </w:pPr>
          </w:p>
        </w:tc>
      </w:tr>
      <w:tr w:rsidR="00500D02" w:rsidRPr="00500D02" w14:paraId="658A357A" w14:textId="77777777" w:rsidTr="00592D95">
        <w:tc>
          <w:tcPr>
            <w:tcW w:w="2074" w:type="dxa"/>
          </w:tcPr>
          <w:p w14:paraId="31BADE9F" w14:textId="77777777" w:rsidR="00500D02" w:rsidRPr="00500D02" w:rsidRDefault="00500D02" w:rsidP="00500D02">
            <w:pPr>
              <w:pStyle w:val="Listenabsatz"/>
              <w:numPr>
                <w:ilvl w:val="0"/>
                <w:numId w:val="5"/>
              </w:numPr>
              <w:suppressAutoHyphens/>
              <w:contextualSpacing w:val="0"/>
              <w:jc w:val="both"/>
              <w:rPr>
                <w:rFonts w:eastAsia="Times New Roman"/>
              </w:rPr>
            </w:pPr>
            <w:r w:rsidRPr="00500D02">
              <w:rPr>
                <w:rFonts w:eastAsia="Times New Roman"/>
              </w:rPr>
              <w:t>ist verpflichtet, sich an einem bestimmten Ort aufzuhalten,</w:t>
            </w:r>
          </w:p>
        </w:tc>
        <w:tc>
          <w:tcPr>
            <w:tcW w:w="702" w:type="dxa"/>
          </w:tcPr>
          <w:p w14:paraId="68FB3D32" w14:textId="77777777" w:rsidR="00500D02" w:rsidRPr="00500D02" w:rsidRDefault="00500D02" w:rsidP="00592D95">
            <w:pPr>
              <w:suppressAutoHyphens/>
              <w:jc w:val="both"/>
              <w:rPr>
                <w:rFonts w:eastAsia="Times New Roman"/>
              </w:rPr>
            </w:pPr>
          </w:p>
        </w:tc>
        <w:tc>
          <w:tcPr>
            <w:tcW w:w="842" w:type="dxa"/>
          </w:tcPr>
          <w:p w14:paraId="0967934A" w14:textId="77777777" w:rsidR="00500D02" w:rsidRPr="00500D02" w:rsidRDefault="00500D02" w:rsidP="00592D95">
            <w:pPr>
              <w:suppressAutoHyphens/>
              <w:jc w:val="both"/>
              <w:rPr>
                <w:rFonts w:eastAsia="Times New Roman"/>
              </w:rPr>
            </w:pPr>
          </w:p>
        </w:tc>
      </w:tr>
      <w:tr w:rsidR="00500D02" w:rsidRPr="00500D02" w14:paraId="0610FB1C" w14:textId="77777777" w:rsidTr="00592D95">
        <w:tc>
          <w:tcPr>
            <w:tcW w:w="2074" w:type="dxa"/>
          </w:tcPr>
          <w:p w14:paraId="023280FC" w14:textId="77777777" w:rsidR="00500D02" w:rsidRPr="00500D02" w:rsidRDefault="00500D02" w:rsidP="00500D02">
            <w:pPr>
              <w:pStyle w:val="Listenabsatz"/>
              <w:numPr>
                <w:ilvl w:val="0"/>
                <w:numId w:val="5"/>
              </w:numPr>
              <w:suppressAutoHyphens/>
              <w:contextualSpacing w:val="0"/>
              <w:jc w:val="both"/>
              <w:rPr>
                <w:rFonts w:eastAsia="Times New Roman"/>
              </w:rPr>
            </w:pPr>
            <w:r w:rsidRPr="00500D02">
              <w:rPr>
                <w:rFonts w:eastAsia="Times New Roman"/>
              </w:rPr>
              <w:t>muss innerhalb kürzester Zeit sofort einsatzbereit sein und</w:t>
            </w:r>
          </w:p>
        </w:tc>
        <w:tc>
          <w:tcPr>
            <w:tcW w:w="702" w:type="dxa"/>
          </w:tcPr>
          <w:p w14:paraId="668AFA18" w14:textId="77777777" w:rsidR="00500D02" w:rsidRPr="00500D02" w:rsidRDefault="00500D02" w:rsidP="00592D95">
            <w:pPr>
              <w:suppressAutoHyphens/>
              <w:jc w:val="both"/>
              <w:rPr>
                <w:rFonts w:eastAsia="Times New Roman"/>
              </w:rPr>
            </w:pPr>
          </w:p>
        </w:tc>
        <w:tc>
          <w:tcPr>
            <w:tcW w:w="842" w:type="dxa"/>
          </w:tcPr>
          <w:p w14:paraId="7CA94D8C" w14:textId="77777777" w:rsidR="00500D02" w:rsidRPr="00500D02" w:rsidRDefault="00500D02" w:rsidP="00592D95">
            <w:pPr>
              <w:suppressAutoHyphens/>
              <w:jc w:val="both"/>
              <w:rPr>
                <w:rFonts w:eastAsia="Times New Roman"/>
              </w:rPr>
            </w:pPr>
          </w:p>
        </w:tc>
      </w:tr>
      <w:tr w:rsidR="00500D02" w:rsidRPr="00500D02" w14:paraId="62B964A6" w14:textId="77777777" w:rsidTr="00592D95">
        <w:tc>
          <w:tcPr>
            <w:tcW w:w="2074" w:type="dxa"/>
          </w:tcPr>
          <w:p w14:paraId="547E0F67" w14:textId="77777777" w:rsidR="00500D02" w:rsidRPr="00500D02" w:rsidRDefault="00500D02" w:rsidP="00500D02">
            <w:pPr>
              <w:pStyle w:val="Listenabsatz"/>
              <w:numPr>
                <w:ilvl w:val="0"/>
                <w:numId w:val="5"/>
              </w:numPr>
              <w:suppressAutoHyphens/>
              <w:contextualSpacing w:val="0"/>
              <w:jc w:val="both"/>
              <w:rPr>
                <w:rFonts w:eastAsia="Times New Roman"/>
              </w:rPr>
            </w:pPr>
            <w:r w:rsidRPr="00500D02">
              <w:rPr>
                <w:rFonts w:eastAsia="Times New Roman"/>
              </w:rPr>
              <w:t>bekommt dafür keinen Freizeitausgleich.</w:t>
            </w:r>
          </w:p>
        </w:tc>
        <w:tc>
          <w:tcPr>
            <w:tcW w:w="702" w:type="dxa"/>
          </w:tcPr>
          <w:p w14:paraId="0321BF09" w14:textId="77777777" w:rsidR="00500D02" w:rsidRPr="00500D02" w:rsidRDefault="00500D02" w:rsidP="00592D95">
            <w:pPr>
              <w:suppressAutoHyphens/>
              <w:jc w:val="both"/>
              <w:rPr>
                <w:rFonts w:eastAsia="Times New Roman"/>
              </w:rPr>
            </w:pPr>
          </w:p>
        </w:tc>
        <w:tc>
          <w:tcPr>
            <w:tcW w:w="842" w:type="dxa"/>
          </w:tcPr>
          <w:p w14:paraId="40AA5CDD" w14:textId="77777777" w:rsidR="00500D02" w:rsidRPr="00500D02" w:rsidRDefault="00500D02" w:rsidP="00592D95">
            <w:pPr>
              <w:suppressAutoHyphens/>
              <w:jc w:val="both"/>
              <w:rPr>
                <w:rFonts w:eastAsia="Times New Roman"/>
              </w:rPr>
            </w:pPr>
          </w:p>
        </w:tc>
      </w:tr>
    </w:tbl>
    <w:p w14:paraId="7D572764" w14:textId="77777777" w:rsidR="00500D02" w:rsidRPr="00500D02" w:rsidRDefault="00500D02" w:rsidP="00500D02">
      <w:pPr>
        <w:suppressAutoHyphens/>
        <w:jc w:val="both"/>
        <w:rPr>
          <w:rFonts w:eastAsia="Times New Roman"/>
        </w:rPr>
      </w:pPr>
    </w:p>
    <w:p w14:paraId="138F2789" w14:textId="77777777" w:rsidR="00500D02" w:rsidRPr="00500D02" w:rsidRDefault="00500D02" w:rsidP="00500D02">
      <w:pPr>
        <w:suppressAutoHyphens/>
        <w:jc w:val="both"/>
        <w:rPr>
          <w:rFonts w:eastAsia="Times New Roman"/>
        </w:rPr>
      </w:pPr>
      <w:r w:rsidRPr="00500D02">
        <w:rPr>
          <w:rFonts w:eastAsia="Times New Roman"/>
        </w:rPr>
        <w:t>Nur wenn Sie als Betriebsrat gerade 3-mal mit „Ja“ geantwortet haben, besteht ein Lohnanspruch.</w:t>
      </w:r>
    </w:p>
    <w:p w14:paraId="75EC5E26" w14:textId="77777777" w:rsidR="00500D02" w:rsidRDefault="00500D02" w:rsidP="00500D02"/>
    <w:p w14:paraId="626A67E7" w14:textId="77777777" w:rsidR="00042E16" w:rsidRPr="00584876" w:rsidRDefault="00042E16" w:rsidP="00042E16">
      <w:pPr>
        <w:suppressAutoHyphens/>
        <w:jc w:val="both"/>
        <w:rPr>
          <w:i/>
          <w:sz w:val="20"/>
          <w:szCs w:val="20"/>
          <w:highlight w:val="yellow"/>
        </w:rPr>
      </w:pP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71D76E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00D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2EE0" w14:textId="77777777" w:rsidR="00772D22" w:rsidRDefault="00772D22" w:rsidP="00BF7674">
      <w:r>
        <w:separator/>
      </w:r>
    </w:p>
  </w:endnote>
  <w:endnote w:type="continuationSeparator" w:id="0">
    <w:p w14:paraId="396A024F" w14:textId="77777777" w:rsidR="00772D22" w:rsidRDefault="00772D2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5D23" w14:textId="77777777" w:rsidR="00772D22" w:rsidRDefault="00772D22" w:rsidP="00BF7674">
      <w:r>
        <w:separator/>
      </w:r>
    </w:p>
  </w:footnote>
  <w:footnote w:type="continuationSeparator" w:id="0">
    <w:p w14:paraId="67106D89" w14:textId="77777777" w:rsidR="00772D22" w:rsidRDefault="00772D2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20AC"/>
    <w:rsid w:val="00435CEE"/>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A47A9"/>
    <w:rsid w:val="006B59F1"/>
    <w:rsid w:val="006C2A68"/>
    <w:rsid w:val="006C3DB7"/>
    <w:rsid w:val="006F4B38"/>
    <w:rsid w:val="0070331C"/>
    <w:rsid w:val="00704937"/>
    <w:rsid w:val="00732E64"/>
    <w:rsid w:val="00753BC8"/>
    <w:rsid w:val="00772D22"/>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73141"/>
    <w:rsid w:val="00E91429"/>
    <w:rsid w:val="00E93BCE"/>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2021-03-26T08:13:00Z</dcterms:created>
  <dcterms:modified xsi:type="dcterms:W3CDTF">2021-03-26T08:13:00Z</dcterms:modified>
</cp:coreProperties>
</file>