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0776" w14:textId="77777777" w:rsidR="00A701C1" w:rsidRPr="00CF67B0" w:rsidRDefault="00A701C1" w:rsidP="00A701C1">
      <w:pPr>
        <w:pStyle w:val="PNLSubhead"/>
        <w:outlineLvl w:val="0"/>
      </w:pPr>
      <w:r>
        <w:t>Schnell-Check: Wann Sie einer Kündigung in der Insolenz widersprechen dürfen</w:t>
      </w:r>
    </w:p>
    <w:tbl>
      <w:tblPr>
        <w:tblStyle w:val="Tabellenraster"/>
        <w:tblW w:w="0" w:type="auto"/>
        <w:tblLook w:val="04A0" w:firstRow="1" w:lastRow="0" w:firstColumn="1" w:lastColumn="0" w:noHBand="0" w:noVBand="1"/>
      </w:tblPr>
      <w:tblGrid>
        <w:gridCol w:w="7225"/>
        <w:gridCol w:w="850"/>
        <w:gridCol w:w="981"/>
      </w:tblGrid>
      <w:tr w:rsidR="00A701C1" w:rsidRPr="00E03A34" w14:paraId="553E779C" w14:textId="77777777" w:rsidTr="00D75BE9">
        <w:tc>
          <w:tcPr>
            <w:tcW w:w="7225" w:type="dxa"/>
          </w:tcPr>
          <w:p w14:paraId="69C025FD" w14:textId="77777777" w:rsidR="00A701C1" w:rsidRPr="00E03A34" w:rsidRDefault="00A701C1" w:rsidP="00D75BE9">
            <w:pPr>
              <w:widowControl w:val="0"/>
              <w:autoSpaceDE w:val="0"/>
              <w:autoSpaceDN w:val="0"/>
              <w:adjustRightInd w:val="0"/>
              <w:jc w:val="both"/>
              <w:rPr>
                <w:b/>
                <w:bCs/>
                <w:sz w:val="22"/>
                <w:szCs w:val="22"/>
              </w:rPr>
            </w:pPr>
          </w:p>
        </w:tc>
        <w:tc>
          <w:tcPr>
            <w:tcW w:w="850" w:type="dxa"/>
          </w:tcPr>
          <w:p w14:paraId="0B7E38E0" w14:textId="77777777" w:rsidR="00A701C1" w:rsidRPr="00E03A34" w:rsidRDefault="00A701C1" w:rsidP="00D75BE9">
            <w:pPr>
              <w:widowControl w:val="0"/>
              <w:autoSpaceDE w:val="0"/>
              <w:autoSpaceDN w:val="0"/>
              <w:adjustRightInd w:val="0"/>
              <w:jc w:val="center"/>
              <w:rPr>
                <w:b/>
                <w:bCs/>
                <w:sz w:val="22"/>
                <w:szCs w:val="22"/>
              </w:rPr>
            </w:pPr>
            <w:r w:rsidRPr="00E03A34">
              <w:rPr>
                <w:b/>
                <w:bCs/>
                <w:sz w:val="22"/>
                <w:szCs w:val="22"/>
              </w:rPr>
              <w:t>Ja</w:t>
            </w:r>
          </w:p>
        </w:tc>
        <w:tc>
          <w:tcPr>
            <w:tcW w:w="981" w:type="dxa"/>
          </w:tcPr>
          <w:p w14:paraId="04589450" w14:textId="77777777" w:rsidR="00A701C1" w:rsidRPr="00E03A34" w:rsidRDefault="00A701C1" w:rsidP="00D75BE9">
            <w:pPr>
              <w:widowControl w:val="0"/>
              <w:autoSpaceDE w:val="0"/>
              <w:autoSpaceDN w:val="0"/>
              <w:adjustRightInd w:val="0"/>
              <w:jc w:val="center"/>
              <w:rPr>
                <w:b/>
                <w:bCs/>
                <w:sz w:val="22"/>
                <w:szCs w:val="22"/>
              </w:rPr>
            </w:pPr>
            <w:r w:rsidRPr="00E03A34">
              <w:rPr>
                <w:b/>
                <w:bCs/>
                <w:sz w:val="22"/>
                <w:szCs w:val="22"/>
              </w:rPr>
              <w:t>Nein</w:t>
            </w:r>
          </w:p>
        </w:tc>
      </w:tr>
      <w:tr w:rsidR="00A701C1" w14:paraId="2F37777E" w14:textId="77777777" w:rsidTr="00D75BE9">
        <w:tc>
          <w:tcPr>
            <w:tcW w:w="7225" w:type="dxa"/>
          </w:tcPr>
          <w:p w14:paraId="587F7E80" w14:textId="77777777" w:rsidR="00A701C1" w:rsidRDefault="00A701C1" w:rsidP="00D75BE9">
            <w:pPr>
              <w:widowControl w:val="0"/>
              <w:autoSpaceDE w:val="0"/>
              <w:autoSpaceDN w:val="0"/>
              <w:adjustRightInd w:val="0"/>
              <w:jc w:val="both"/>
              <w:rPr>
                <w:sz w:val="22"/>
                <w:szCs w:val="22"/>
              </w:rPr>
            </w:pPr>
            <w:r>
              <w:rPr>
                <w:sz w:val="22"/>
                <w:szCs w:val="22"/>
              </w:rPr>
              <w:t>Hat der Arbeitgeber es unterlassen, vor der Kündigung eine ordnungsgemäße und fehlerfreie Sozialauswahl durchzuführen, bei der er den unter sozialen Gesichtspunkten, wie zum Beispiel Betriebszugehörigkeit und Kinderzahl, den am wenigsten schutzbedürftigen Kollegen ausgewählt hat?</w:t>
            </w:r>
          </w:p>
        </w:tc>
        <w:tc>
          <w:tcPr>
            <w:tcW w:w="850" w:type="dxa"/>
          </w:tcPr>
          <w:p w14:paraId="2E24E4BE" w14:textId="77777777" w:rsidR="00A701C1" w:rsidRDefault="00A701C1" w:rsidP="00D75BE9">
            <w:pPr>
              <w:widowControl w:val="0"/>
              <w:autoSpaceDE w:val="0"/>
              <w:autoSpaceDN w:val="0"/>
              <w:adjustRightInd w:val="0"/>
              <w:jc w:val="both"/>
              <w:rPr>
                <w:sz w:val="22"/>
                <w:szCs w:val="22"/>
              </w:rPr>
            </w:pPr>
          </w:p>
        </w:tc>
        <w:tc>
          <w:tcPr>
            <w:tcW w:w="981" w:type="dxa"/>
          </w:tcPr>
          <w:p w14:paraId="58682A9C" w14:textId="77777777" w:rsidR="00A701C1" w:rsidRDefault="00A701C1" w:rsidP="00D75BE9">
            <w:pPr>
              <w:widowControl w:val="0"/>
              <w:autoSpaceDE w:val="0"/>
              <w:autoSpaceDN w:val="0"/>
              <w:adjustRightInd w:val="0"/>
              <w:jc w:val="both"/>
              <w:rPr>
                <w:sz w:val="22"/>
                <w:szCs w:val="22"/>
              </w:rPr>
            </w:pPr>
          </w:p>
        </w:tc>
      </w:tr>
      <w:tr w:rsidR="00A701C1" w14:paraId="5D870CBD" w14:textId="77777777" w:rsidTr="00D75BE9">
        <w:tc>
          <w:tcPr>
            <w:tcW w:w="7225" w:type="dxa"/>
          </w:tcPr>
          <w:p w14:paraId="7DEFE7EC" w14:textId="77777777" w:rsidR="00A701C1" w:rsidRDefault="00A701C1" w:rsidP="00D75BE9">
            <w:pPr>
              <w:widowControl w:val="0"/>
              <w:autoSpaceDE w:val="0"/>
              <w:autoSpaceDN w:val="0"/>
              <w:adjustRightInd w:val="0"/>
              <w:jc w:val="both"/>
              <w:rPr>
                <w:sz w:val="22"/>
                <w:szCs w:val="22"/>
              </w:rPr>
            </w:pPr>
            <w:r>
              <w:rPr>
                <w:sz w:val="22"/>
                <w:szCs w:val="22"/>
              </w:rPr>
              <w:t>Verstößt die Kündigung gegen eine bestehende Auswahlrichtlinie, die festlegt, welche Kolleginnen und Kollegen von einer betriebsbedingten Kündigung betroffen sein können?</w:t>
            </w:r>
          </w:p>
        </w:tc>
        <w:tc>
          <w:tcPr>
            <w:tcW w:w="850" w:type="dxa"/>
          </w:tcPr>
          <w:p w14:paraId="77A1500D" w14:textId="77777777" w:rsidR="00A701C1" w:rsidRDefault="00A701C1" w:rsidP="00D75BE9">
            <w:pPr>
              <w:widowControl w:val="0"/>
              <w:autoSpaceDE w:val="0"/>
              <w:autoSpaceDN w:val="0"/>
              <w:adjustRightInd w:val="0"/>
              <w:jc w:val="both"/>
              <w:rPr>
                <w:sz w:val="22"/>
                <w:szCs w:val="22"/>
              </w:rPr>
            </w:pPr>
          </w:p>
        </w:tc>
        <w:tc>
          <w:tcPr>
            <w:tcW w:w="981" w:type="dxa"/>
          </w:tcPr>
          <w:p w14:paraId="028904BA" w14:textId="77777777" w:rsidR="00A701C1" w:rsidRDefault="00A701C1" w:rsidP="00D75BE9">
            <w:pPr>
              <w:widowControl w:val="0"/>
              <w:autoSpaceDE w:val="0"/>
              <w:autoSpaceDN w:val="0"/>
              <w:adjustRightInd w:val="0"/>
              <w:jc w:val="both"/>
              <w:rPr>
                <w:sz w:val="22"/>
                <w:szCs w:val="22"/>
              </w:rPr>
            </w:pPr>
          </w:p>
        </w:tc>
      </w:tr>
      <w:tr w:rsidR="00A701C1" w14:paraId="0D17CFFA" w14:textId="77777777" w:rsidTr="00D75BE9">
        <w:tc>
          <w:tcPr>
            <w:tcW w:w="7225" w:type="dxa"/>
          </w:tcPr>
          <w:p w14:paraId="21009F35" w14:textId="77777777" w:rsidR="00A701C1" w:rsidRDefault="00A701C1" w:rsidP="00D75BE9">
            <w:pPr>
              <w:widowControl w:val="0"/>
              <w:autoSpaceDE w:val="0"/>
              <w:autoSpaceDN w:val="0"/>
              <w:adjustRightInd w:val="0"/>
              <w:jc w:val="both"/>
              <w:rPr>
                <w:sz w:val="22"/>
                <w:szCs w:val="22"/>
              </w:rPr>
            </w:pPr>
            <w:r>
              <w:rPr>
                <w:sz w:val="22"/>
                <w:szCs w:val="22"/>
              </w:rPr>
              <w:t>Gibt es eine innerbetriebliche Weiterbeschäftigungsmöglichkeit?</w:t>
            </w:r>
          </w:p>
        </w:tc>
        <w:tc>
          <w:tcPr>
            <w:tcW w:w="850" w:type="dxa"/>
          </w:tcPr>
          <w:p w14:paraId="2FE877FE" w14:textId="77777777" w:rsidR="00A701C1" w:rsidRDefault="00A701C1" w:rsidP="00D75BE9">
            <w:pPr>
              <w:widowControl w:val="0"/>
              <w:autoSpaceDE w:val="0"/>
              <w:autoSpaceDN w:val="0"/>
              <w:adjustRightInd w:val="0"/>
              <w:jc w:val="both"/>
              <w:rPr>
                <w:sz w:val="22"/>
                <w:szCs w:val="22"/>
              </w:rPr>
            </w:pPr>
          </w:p>
        </w:tc>
        <w:tc>
          <w:tcPr>
            <w:tcW w:w="981" w:type="dxa"/>
          </w:tcPr>
          <w:p w14:paraId="0450068C" w14:textId="77777777" w:rsidR="00A701C1" w:rsidRDefault="00A701C1" w:rsidP="00D75BE9">
            <w:pPr>
              <w:widowControl w:val="0"/>
              <w:autoSpaceDE w:val="0"/>
              <w:autoSpaceDN w:val="0"/>
              <w:adjustRightInd w:val="0"/>
              <w:jc w:val="both"/>
              <w:rPr>
                <w:sz w:val="22"/>
                <w:szCs w:val="22"/>
              </w:rPr>
            </w:pPr>
          </w:p>
        </w:tc>
      </w:tr>
      <w:tr w:rsidR="00A701C1" w14:paraId="6A8AFB06" w14:textId="77777777" w:rsidTr="00D75BE9">
        <w:tc>
          <w:tcPr>
            <w:tcW w:w="7225" w:type="dxa"/>
          </w:tcPr>
          <w:p w14:paraId="65925640" w14:textId="77777777" w:rsidR="00A701C1" w:rsidRDefault="00A701C1" w:rsidP="00D75BE9">
            <w:pPr>
              <w:widowControl w:val="0"/>
              <w:autoSpaceDE w:val="0"/>
              <w:autoSpaceDN w:val="0"/>
              <w:adjustRightInd w:val="0"/>
              <w:jc w:val="both"/>
              <w:rPr>
                <w:sz w:val="22"/>
                <w:szCs w:val="22"/>
              </w:rPr>
            </w:pPr>
            <w:r>
              <w:rPr>
                <w:sz w:val="22"/>
                <w:szCs w:val="22"/>
              </w:rPr>
              <w:t>Ist eine Umschulungs- oder Fortbildungsmaßnahme, die zum Erhalt des Arbeitsplatzes führen kann, zumutbar?</w:t>
            </w:r>
          </w:p>
        </w:tc>
        <w:tc>
          <w:tcPr>
            <w:tcW w:w="850" w:type="dxa"/>
          </w:tcPr>
          <w:p w14:paraId="3A03CA70" w14:textId="77777777" w:rsidR="00A701C1" w:rsidRDefault="00A701C1" w:rsidP="00D75BE9">
            <w:pPr>
              <w:widowControl w:val="0"/>
              <w:autoSpaceDE w:val="0"/>
              <w:autoSpaceDN w:val="0"/>
              <w:adjustRightInd w:val="0"/>
              <w:jc w:val="both"/>
              <w:rPr>
                <w:sz w:val="22"/>
                <w:szCs w:val="22"/>
              </w:rPr>
            </w:pPr>
          </w:p>
        </w:tc>
        <w:tc>
          <w:tcPr>
            <w:tcW w:w="981" w:type="dxa"/>
          </w:tcPr>
          <w:p w14:paraId="3E7A07D3" w14:textId="77777777" w:rsidR="00A701C1" w:rsidRDefault="00A701C1" w:rsidP="00D75BE9">
            <w:pPr>
              <w:widowControl w:val="0"/>
              <w:autoSpaceDE w:val="0"/>
              <w:autoSpaceDN w:val="0"/>
              <w:adjustRightInd w:val="0"/>
              <w:jc w:val="both"/>
              <w:rPr>
                <w:sz w:val="22"/>
                <w:szCs w:val="22"/>
              </w:rPr>
            </w:pPr>
          </w:p>
        </w:tc>
      </w:tr>
      <w:tr w:rsidR="00A701C1" w14:paraId="1BFAC9E0" w14:textId="77777777" w:rsidTr="00D75BE9">
        <w:tc>
          <w:tcPr>
            <w:tcW w:w="7225" w:type="dxa"/>
          </w:tcPr>
          <w:p w14:paraId="70CCF90E" w14:textId="77777777" w:rsidR="00A701C1" w:rsidRDefault="00A701C1" w:rsidP="00D75BE9">
            <w:pPr>
              <w:widowControl w:val="0"/>
              <w:autoSpaceDE w:val="0"/>
              <w:autoSpaceDN w:val="0"/>
              <w:adjustRightInd w:val="0"/>
              <w:jc w:val="both"/>
              <w:rPr>
                <w:sz w:val="22"/>
                <w:szCs w:val="22"/>
              </w:rPr>
            </w:pPr>
            <w:r>
              <w:rPr>
                <w:sz w:val="22"/>
                <w:szCs w:val="22"/>
              </w:rPr>
              <w:t>Besteht die Möglichkeit, das Arbeitsverhältnis zu anderen arbeitsvertraglichen Bedingungen fortzusetzen?</w:t>
            </w:r>
          </w:p>
        </w:tc>
        <w:tc>
          <w:tcPr>
            <w:tcW w:w="850" w:type="dxa"/>
          </w:tcPr>
          <w:p w14:paraId="027B932A" w14:textId="77777777" w:rsidR="00A701C1" w:rsidRDefault="00A701C1" w:rsidP="00D75BE9">
            <w:pPr>
              <w:widowControl w:val="0"/>
              <w:autoSpaceDE w:val="0"/>
              <w:autoSpaceDN w:val="0"/>
              <w:adjustRightInd w:val="0"/>
              <w:jc w:val="both"/>
              <w:rPr>
                <w:sz w:val="22"/>
                <w:szCs w:val="22"/>
              </w:rPr>
            </w:pPr>
          </w:p>
        </w:tc>
        <w:tc>
          <w:tcPr>
            <w:tcW w:w="981" w:type="dxa"/>
          </w:tcPr>
          <w:p w14:paraId="59C95626" w14:textId="77777777" w:rsidR="00A701C1" w:rsidRDefault="00A701C1" w:rsidP="00D75BE9">
            <w:pPr>
              <w:widowControl w:val="0"/>
              <w:autoSpaceDE w:val="0"/>
              <w:autoSpaceDN w:val="0"/>
              <w:adjustRightInd w:val="0"/>
              <w:jc w:val="both"/>
              <w:rPr>
                <w:sz w:val="22"/>
                <w:szCs w:val="22"/>
              </w:rPr>
            </w:pPr>
          </w:p>
        </w:tc>
      </w:tr>
    </w:tbl>
    <w:p w14:paraId="7F1F473A" w14:textId="77777777" w:rsidR="00A701C1" w:rsidRDefault="00A701C1" w:rsidP="00A701C1">
      <w:pPr>
        <w:widowControl w:val="0"/>
        <w:autoSpaceDE w:val="0"/>
        <w:autoSpaceDN w:val="0"/>
        <w:adjustRightInd w:val="0"/>
        <w:jc w:val="both"/>
        <w:rPr>
          <w:sz w:val="22"/>
          <w:szCs w:val="22"/>
        </w:rPr>
      </w:pPr>
    </w:p>
    <w:p w14:paraId="6DFC6664" w14:textId="77777777" w:rsidR="00A701C1" w:rsidRDefault="00A701C1" w:rsidP="00A701C1">
      <w:pPr>
        <w:widowControl w:val="0"/>
        <w:autoSpaceDE w:val="0"/>
        <w:autoSpaceDN w:val="0"/>
        <w:adjustRightInd w:val="0"/>
        <w:jc w:val="both"/>
        <w:rPr>
          <w:sz w:val="22"/>
          <w:szCs w:val="22"/>
        </w:rPr>
      </w:pPr>
      <w:r>
        <w:rPr>
          <w:sz w:val="22"/>
          <w:szCs w:val="22"/>
        </w:rPr>
        <w:t>Haben Sie als Betriebsrat auch nur einmal „Ja“ angekreuzt, sollten Sie der Kündigung auch in der Insolvenz unbedingt innerhalb einer Woche schriftlich und mit der entsprechenden Begründung widersprechen.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073B81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003B2">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89AB" w14:textId="77777777" w:rsidR="00994D33" w:rsidRDefault="00994D33" w:rsidP="00BF7674">
      <w:r>
        <w:separator/>
      </w:r>
    </w:p>
  </w:endnote>
  <w:endnote w:type="continuationSeparator" w:id="0">
    <w:p w14:paraId="2652D5BE" w14:textId="77777777" w:rsidR="00994D33" w:rsidRDefault="00994D3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9EAC1" w14:textId="77777777" w:rsidR="00994D33" w:rsidRDefault="00994D33" w:rsidP="00BF7674">
      <w:r>
        <w:separator/>
      </w:r>
    </w:p>
  </w:footnote>
  <w:footnote w:type="continuationSeparator" w:id="0">
    <w:p w14:paraId="056F0050" w14:textId="77777777" w:rsidR="00994D33" w:rsidRDefault="00994D3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5"/>
  </w:num>
  <w:num w:numId="4">
    <w:abstractNumId w:val="9"/>
  </w:num>
  <w:num w:numId="5">
    <w:abstractNumId w:val="16"/>
  </w:num>
  <w:num w:numId="6">
    <w:abstractNumId w:val="19"/>
  </w:num>
  <w:num w:numId="7">
    <w:abstractNumId w:val="15"/>
  </w:num>
  <w:num w:numId="8">
    <w:abstractNumId w:val="4"/>
  </w:num>
  <w:num w:numId="9">
    <w:abstractNumId w:val="6"/>
  </w:num>
  <w:num w:numId="10">
    <w:abstractNumId w:val="7"/>
  </w:num>
  <w:num w:numId="11">
    <w:abstractNumId w:val="25"/>
  </w:num>
  <w:num w:numId="12">
    <w:abstractNumId w:val="27"/>
  </w:num>
  <w:num w:numId="13">
    <w:abstractNumId w:val="10"/>
  </w:num>
  <w:num w:numId="14">
    <w:abstractNumId w:val="13"/>
  </w:num>
  <w:num w:numId="15">
    <w:abstractNumId w:val="12"/>
  </w:num>
  <w:num w:numId="16">
    <w:abstractNumId w:val="17"/>
  </w:num>
  <w:num w:numId="17">
    <w:abstractNumId w:val="24"/>
  </w:num>
  <w:num w:numId="18">
    <w:abstractNumId w:val="23"/>
  </w:num>
  <w:num w:numId="19">
    <w:abstractNumId w:val="14"/>
  </w:num>
  <w:num w:numId="20">
    <w:abstractNumId w:val="0"/>
  </w:num>
  <w:num w:numId="21">
    <w:abstractNumId w:val="3"/>
  </w:num>
  <w:num w:numId="22">
    <w:abstractNumId w:val="21"/>
  </w:num>
  <w:num w:numId="23">
    <w:abstractNumId w:val="18"/>
  </w:num>
  <w:num w:numId="24">
    <w:abstractNumId w:val="11"/>
  </w:num>
  <w:num w:numId="25">
    <w:abstractNumId w:val="20"/>
  </w:num>
  <w:num w:numId="26">
    <w:abstractNumId w:val="8"/>
  </w:num>
  <w:num w:numId="27">
    <w:abstractNumId w:val="2"/>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94D33"/>
    <w:rsid w:val="009B52B1"/>
    <w:rsid w:val="00A22739"/>
    <w:rsid w:val="00A27A08"/>
    <w:rsid w:val="00A27EF9"/>
    <w:rsid w:val="00A66A63"/>
    <w:rsid w:val="00A701C1"/>
    <w:rsid w:val="00A76569"/>
    <w:rsid w:val="00AC5E14"/>
    <w:rsid w:val="00AD1424"/>
    <w:rsid w:val="00AD1B7C"/>
    <w:rsid w:val="00AD39F1"/>
    <w:rsid w:val="00AE0D38"/>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529"/>
    <w:rsid w:val="00EA263C"/>
    <w:rsid w:val="00EE5E10"/>
    <w:rsid w:val="00F003B2"/>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2020-11-10T07:36:00Z</dcterms:created>
  <dcterms:modified xsi:type="dcterms:W3CDTF">2020-11-10T07:36:00Z</dcterms:modified>
</cp:coreProperties>
</file>